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5E" w:rsidRPr="00C7464C" w:rsidRDefault="0098405E" w:rsidP="0098405E">
      <w:pPr>
        <w:outlineLvl w:val="0"/>
        <w:rPr>
          <w:rFonts w:eastAsia="標楷體"/>
          <w:b/>
        </w:rPr>
      </w:pPr>
      <w:bookmarkStart w:id="0" w:name="_GoBack"/>
      <w:bookmarkEnd w:id="0"/>
      <w:r w:rsidRPr="00C7464C">
        <w:rPr>
          <w:rFonts w:eastAsia="標楷體"/>
          <w:b/>
        </w:rPr>
        <w:t>附件</w:t>
      </w:r>
      <w:r>
        <w:rPr>
          <w:rFonts w:eastAsia="標楷體" w:hint="eastAsia"/>
          <w:b/>
        </w:rPr>
        <w:t>-2</w:t>
      </w:r>
      <w:r w:rsidRPr="00C7464C">
        <w:rPr>
          <w:rFonts w:eastAsia="標楷體"/>
          <w:b/>
        </w:rPr>
        <w:t>：臺灣地區各地之基本設計風速</w:t>
      </w:r>
    </w:p>
    <w:p w:rsidR="0098405E" w:rsidRPr="00C7464C" w:rsidRDefault="0098405E" w:rsidP="0098405E">
      <w:pPr>
        <w:rPr>
          <w:rFonts w:eastAsia="標楷體"/>
        </w:rPr>
      </w:pPr>
      <w:r w:rsidRPr="00C7464C">
        <w:rPr>
          <w:rFonts w:eastAsia="標楷體"/>
        </w:rPr>
        <w:t>（資料來源：建築物耐風設計規範與解說）</w:t>
      </w:r>
    </w:p>
    <w:p w:rsidR="0098405E" w:rsidRPr="00C7464C" w:rsidRDefault="0098405E" w:rsidP="0098405E">
      <w:pPr>
        <w:rPr>
          <w:rFonts w:eastAsia="標楷體"/>
        </w:rPr>
      </w:pPr>
      <w:r w:rsidRPr="00C7464C">
        <w:rPr>
          <w:rFonts w:eastAsia="標楷體"/>
        </w:rPr>
        <w:t>臺灣地區各地之基本設計風速，分為下列各區：</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47.5</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6"/>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花蓮縣：花蓮市、吉安鄉。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6"/>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屏東縣：恆春鎮、滿州鄉。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 xml:space="preserve">42.5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基隆市。</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新北市：貢寮區、雙溪區、坪林區、瑞芳區、平溪區、石碇區、深坑區、汐止區、萬里區、金山區、石門區、三芝區、淡水區。</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臺北市。</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屏東縣：車城鄉、牡丹鄉、枋山鄉、獅子鄉、枋寮鄉、春日鄉。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宜蘭縣：南澳鄉、蘇澳鎮、冬山鄉、五結鄉、壯圍鄉、頭城鎮。</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花蓮縣：玉里鎮、瑞穗鄉、豐濱鄉、光復鄉、鳳林鎮、壽豐鄉、新城鄉、秀林鄉。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7"/>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臺東縣：達仁鄉、大武鄉、太麻里鄉、長濱鄉。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37.5</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新北市：烏來區、新店區、三峽區、五股區、蘆洲區、三重區、泰山區、新莊區、板橋區、中和區、永和區、土城區、樹林區、鶯歌區、林口區、八里區。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桃園縣。</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新竹縣：新豐鄉、湖口鄉、新埔鎮、關西鎮、橫山鄉、尖石鄉。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臺中市：和平區。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南投縣：信義鄉。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臺南市：七股區、中西區、東區、南區、北區、安平區、安南區。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高雄市：林園區、大寮區、大樹區、燕巢區、大社區、仁武區、鳥松區、鳳山區、橋頭區、岡山區、梓官區、彌陀區、永安區、茄萣區、路竹區、湖內區、</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桃源區、新興區、前金區、苓雅區、鹽埕區、鼓山區、旗津區、前鎮區、三民區、楠梓區、小港區、左營區。</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屏東縣：佳冬鄉、林邊鄉、東港鎮、新埤鄉、來義鄉、泰武鄉、萬巒鄉、潮州鎮、竹田鄉、崁頂鄉、南州</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鄉、萬丹鄉、新園鄉、麟洛鄉、瑪家鄉、內埔鄉、長治鄉、屏東市、九如鄉、鹽埔鄉、里港鄉、高</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樹鄉、三地門鄉、霧臺鄉。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宜蘭縣：大同鄉、三星鄉、員山鄉、羅東鎮、宜蘭市、礁溪鄉。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花蓮縣：富里鄉、卓溪鄉、萬榮鄉。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2"/>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臺東縣：金峰鄉、卑南鄉、臺東市、東河鄉、鹿野鄉、延平鄉、關山鎮、池上鄉、海端鄉、成功鎮。</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color w:val="FF0000"/>
          <w:sz w:val="24"/>
          <w:szCs w:val="24"/>
        </w:rPr>
        <w:t xml:space="preserve"> </w:t>
      </w:r>
      <w:r w:rsidRPr="00C7464C">
        <w:rPr>
          <w:rFonts w:ascii="Times New Roman" w:eastAsia="標楷體" w:hAnsi="Times New Roman" w:cs="Times New Roman"/>
          <w:sz w:val="24"/>
          <w:szCs w:val="24"/>
          <w:u w:val="single"/>
        </w:rPr>
        <w:t>32.5</w:t>
      </w:r>
      <w:r w:rsidRPr="00C7464C">
        <w:rPr>
          <w:rFonts w:ascii="Times New Roman" w:eastAsia="標楷體" w:hAnsi="Times New Roman" w:cs="Times New Roman"/>
          <w:color w:val="FF0000"/>
          <w:sz w:val="24"/>
          <w:szCs w:val="24"/>
        </w:rPr>
        <w:t xml:space="preserve">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新竹縣：五峰鄉、北埔鄉、峨眉鄉、竹東鎮、寶山鄉、芎林鄉、竹北市。</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新竹市。</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苗栗縣。</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lastRenderedPageBreak/>
        <w:t>臺中市：東勢區、新社區、太平區、石岡區、豐原區、潭子區、神岡區、大雅區、大肚區、龍井區、沙鹿區、梧棲區、清水區、后里區、外埔區、大安區、</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大甲區、中區、東區、南區、西區、北區、北屯</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區、西屯區、南屯區。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彰化縣：伸港鄉、線西鄉、和美鎮。</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南投縣：仁愛鄉。</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雲林縣：口湖鄉、水林鄉、四湖鄉。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嘉義縣：布袋鎮、義竹鄉、鹿草鄉、太保市、六腳鄉、朴子市、東石鄉。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臺南市：永康區、歸仁區、新化區、左鎮區、玉井區、楠西區、南化區、仁德區、關廟區、龍崎區、官田</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區、麻豆區、佳里區、西港區、將軍區、學甲區、</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北門區、新營區、後壁區、東山區、六甲區、下營區、柳營區、鹽水區、善化區、大內區、山上</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區、新市區、安定區。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3"/>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高雄市：阿蓮區、田寮區、旗山區、美濃區、內門區、杉林區、六龜區、茂林區、甲仙區、那瑪夏區。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 xml:space="preserve">27.5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臺中市：烏日區、霧峰區、大里區。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彰化縣：鹿港鎮、福興鄉、芳苑鄉、大城鄉、二林鎮、埔</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鹽鄉、竹塘鄉、埤頭鄉、溪湖鎮、溪州鄉、二水鄉、彰化市、花壇鄉、芬園鄉、秀水鄉、大村鄉、員林鎮、社頭鄉、埔心鄉、永靖鄉、田尾鄉、北斗鎮、田中鎮。</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南投縣：草屯鎮、南投市、名間鄉、中寮鄉、國姓鄉、埔</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里鎮、魚池鄉。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雲林縣：麥寮鄉、臺西鄉、東勢鄉、崙背鄉、褒忠鄉、元長鄉、北港鎮、土庫鎮、二崙鎮、西螺鎮、虎尾</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鎮、大埤鄉、荊桐鄉、斗六市、斗南鎮、古坑鄉、</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林內鄉。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嘉義縣：新港鄉、水上鄉、溪口鄉、民雄鄉、大林鎮、梅</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山鄉、竹崎鄉、中埔鄉、番路鄉、大埔鄉、阿里山鄉。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嘉義市。</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4"/>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臺南市：白河區。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22.5</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公尺區：</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5"/>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南投縣：竹山鎮、水里鄉、集集鎮、鹿谷鄉。</w:t>
      </w:r>
      <w:r w:rsidRPr="00C7464C">
        <w:rPr>
          <w:rFonts w:ascii="Times New Roman" w:eastAsia="標楷體" w:hAnsi="Times New Roman" w:cs="Times New Roman"/>
          <w:sz w:val="24"/>
          <w:szCs w:val="24"/>
        </w:rPr>
        <w:t xml:space="preserve"> </w:t>
      </w:r>
    </w:p>
    <w:p w:rsidR="0098405E" w:rsidRPr="00C7464C" w:rsidRDefault="0098405E" w:rsidP="0098405E">
      <w:pPr>
        <w:pStyle w:val="a3"/>
        <w:numPr>
          <w:ilvl w:val="0"/>
          <w:numId w:val="1"/>
        </w:numPr>
        <w:ind w:leftChars="0"/>
        <w:rPr>
          <w:rFonts w:ascii="Times New Roman" w:eastAsia="標楷體" w:hAnsi="Times New Roman" w:cs="Times New Roman"/>
          <w:sz w:val="24"/>
          <w:szCs w:val="24"/>
        </w:rPr>
      </w:pPr>
      <w:r w:rsidRPr="00C7464C">
        <w:rPr>
          <w:rFonts w:ascii="Times New Roman" w:eastAsia="標楷體" w:hAnsi="Times New Roman" w:cs="Times New Roman"/>
          <w:sz w:val="24"/>
          <w:szCs w:val="24"/>
        </w:rPr>
        <w:t>外島地區：金門：每秒</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u w:val="single"/>
        </w:rPr>
        <w:t>35</w:t>
      </w:r>
      <w:r w:rsidRPr="00C7464C">
        <w:rPr>
          <w:rFonts w:ascii="Times New Roman" w:eastAsia="標楷體" w:hAnsi="Times New Roman" w:cs="Times New Roman"/>
          <w:sz w:val="24"/>
          <w:szCs w:val="24"/>
        </w:rPr>
        <w:t xml:space="preserve"> </w:t>
      </w:r>
      <w:r w:rsidRPr="00C7464C">
        <w:rPr>
          <w:rFonts w:ascii="Times New Roman" w:eastAsia="標楷體" w:hAnsi="Times New Roman" w:cs="Times New Roman"/>
          <w:sz w:val="24"/>
          <w:szCs w:val="24"/>
        </w:rPr>
        <w:t>公尺。</w:t>
      </w:r>
    </w:p>
    <w:p w:rsidR="0098405E" w:rsidRPr="0076670E" w:rsidRDefault="0098405E" w:rsidP="0098405E">
      <w:pPr>
        <w:snapToGrid w:val="0"/>
        <w:spacing w:line="540" w:lineRule="exact"/>
        <w:rPr>
          <w:rFonts w:ascii="標楷體" w:eastAsia="標楷體" w:hAnsi="標楷體" w:cs="DFKaiShu-SB-Estd-BF"/>
          <w:color w:val="000000"/>
          <w:kern w:val="0"/>
          <w:sz w:val="32"/>
          <w:szCs w:val="32"/>
          <w:bdr w:val="single" w:sz="4" w:space="0" w:color="auto"/>
        </w:rPr>
      </w:pPr>
    </w:p>
    <w:p w:rsidR="0098405E" w:rsidRDefault="0098405E" w:rsidP="0098405E">
      <w:pPr>
        <w:snapToGrid w:val="0"/>
        <w:spacing w:line="540" w:lineRule="exact"/>
        <w:rPr>
          <w:rFonts w:ascii="標楷體" w:eastAsia="標楷體" w:hAnsi="標楷體" w:cs="DFKaiShu-SB-Estd-BF"/>
          <w:color w:val="000000"/>
          <w:kern w:val="0"/>
          <w:sz w:val="32"/>
          <w:szCs w:val="32"/>
          <w:bdr w:val="single" w:sz="4" w:space="0" w:color="auto"/>
        </w:rPr>
      </w:pPr>
    </w:p>
    <w:p w:rsidR="00AE70AC" w:rsidRDefault="00AE70AC"/>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Pr>
        <w:rPr>
          <w:rFonts w:hint="eastAsia"/>
        </w:rPr>
      </w:pPr>
    </w:p>
    <w:p w:rsidR="00CF01E5" w:rsidRDefault="00CF01E5"/>
    <w:p w:rsidR="00CF01E5" w:rsidRPr="00D12C46" w:rsidRDefault="00CF01E5" w:rsidP="00CF01E5">
      <w:pPr>
        <w:snapToGrid w:val="0"/>
        <w:spacing w:line="520" w:lineRule="exact"/>
        <w:rPr>
          <w:rFonts w:ascii="標楷體" w:eastAsia="標楷體" w:hAnsi="標楷體"/>
          <w:b/>
          <w:bCs/>
          <w:sz w:val="28"/>
          <w:szCs w:val="28"/>
        </w:rPr>
      </w:pPr>
      <w:r w:rsidRPr="00D12C46">
        <w:rPr>
          <w:rFonts w:ascii="標楷體" w:eastAsia="標楷體" w:hAnsi="標楷體" w:hint="eastAsia"/>
          <w:b/>
          <w:bCs/>
          <w:kern w:val="0"/>
          <w:sz w:val="28"/>
          <w:szCs w:val="28"/>
        </w:rPr>
        <w:lastRenderedPageBreak/>
        <w:t>附件3</w:t>
      </w:r>
    </w:p>
    <w:p w:rsidR="00CF01E5" w:rsidRDefault="00CF01E5" w:rsidP="00CF01E5">
      <w:pPr>
        <w:snapToGrid w:val="0"/>
        <w:spacing w:line="520" w:lineRule="exact"/>
        <w:jc w:val="center"/>
        <w:rPr>
          <w:rFonts w:ascii="標楷體" w:eastAsia="標楷體" w:hAnsi="標楷體"/>
          <w:b/>
          <w:bCs/>
          <w:sz w:val="32"/>
          <w:szCs w:val="32"/>
        </w:rPr>
      </w:pPr>
      <w:r w:rsidRPr="00AD78A5">
        <w:rPr>
          <w:rFonts w:ascii="標楷體" w:eastAsia="標楷體" w:hAnsi="標楷體" w:hint="eastAsia"/>
          <w:b/>
          <w:bCs/>
          <w:sz w:val="32"/>
          <w:szCs w:val="32"/>
        </w:rPr>
        <w:t>108年度嘉義縣所屬學校球場設置</w:t>
      </w:r>
      <w:r w:rsidRPr="00AD78A5">
        <w:rPr>
          <w:rFonts w:ascii="標楷體" w:eastAsia="標楷體" w:hAnsi="標楷體" w:cs="華康標楷體" w:hint="eastAsia"/>
          <w:b/>
          <w:color w:val="000000"/>
          <w:sz w:val="32"/>
          <w:szCs w:val="32"/>
        </w:rPr>
        <w:t>棚架式</w:t>
      </w:r>
      <w:r w:rsidRPr="00AD78A5">
        <w:rPr>
          <w:rFonts w:ascii="標楷體" w:eastAsia="標楷體" w:hAnsi="標楷體" w:hint="eastAsia"/>
          <w:b/>
          <w:bCs/>
          <w:sz w:val="32"/>
          <w:szCs w:val="32"/>
        </w:rPr>
        <w:t>太陽光電</w:t>
      </w:r>
      <w:r>
        <w:rPr>
          <w:rFonts w:ascii="標楷體" w:eastAsia="標楷體" w:hAnsi="標楷體" w:hint="eastAsia"/>
          <w:b/>
          <w:bCs/>
          <w:sz w:val="32"/>
          <w:szCs w:val="32"/>
        </w:rPr>
        <w:t>發電</w:t>
      </w:r>
      <w:r w:rsidRPr="00AD78A5">
        <w:rPr>
          <w:rFonts w:ascii="標楷體" w:eastAsia="標楷體" w:hAnsi="標楷體" w:hint="eastAsia"/>
          <w:b/>
          <w:bCs/>
          <w:sz w:val="32"/>
          <w:szCs w:val="32"/>
        </w:rPr>
        <w:t>系統</w:t>
      </w:r>
    </w:p>
    <w:p w:rsidR="00CF01E5" w:rsidRPr="00AD78A5" w:rsidRDefault="00CF01E5" w:rsidP="00CF01E5">
      <w:pPr>
        <w:snapToGrid w:val="0"/>
        <w:spacing w:line="520" w:lineRule="exact"/>
        <w:jc w:val="center"/>
        <w:rPr>
          <w:rFonts w:ascii="標楷體" w:eastAsia="標楷體" w:hAnsi="標楷體"/>
          <w:b/>
          <w:bCs/>
          <w:sz w:val="32"/>
          <w:szCs w:val="32"/>
        </w:rPr>
      </w:pPr>
      <w:r w:rsidRPr="00AD78A5">
        <w:rPr>
          <w:rFonts w:ascii="標楷體" w:eastAsia="標楷體" w:hAnsi="標楷體" w:hint="eastAsia"/>
          <w:b/>
          <w:bCs/>
          <w:sz w:val="32"/>
          <w:szCs w:val="32"/>
        </w:rPr>
        <w:t>公開標租案</w:t>
      </w:r>
    </w:p>
    <w:p w:rsidR="00CF01E5" w:rsidRPr="00566C1E" w:rsidRDefault="00CF01E5" w:rsidP="00CF01E5">
      <w:pPr>
        <w:snapToGrid w:val="0"/>
        <w:spacing w:line="520" w:lineRule="exact"/>
        <w:jc w:val="center"/>
        <w:rPr>
          <w:rFonts w:ascii="標楷體" w:eastAsia="標楷體" w:hAnsi="標楷體"/>
          <w:sz w:val="32"/>
          <w:szCs w:val="32"/>
        </w:rPr>
      </w:pPr>
      <w:r w:rsidRPr="00566C1E">
        <w:rPr>
          <w:rFonts w:ascii="標楷體" w:eastAsia="標楷體" w:hAnsi="標楷體"/>
          <w:sz w:val="32"/>
          <w:szCs w:val="32"/>
        </w:rPr>
        <w:t>太陽光電發電</w:t>
      </w:r>
      <w:r w:rsidRPr="00566C1E">
        <w:rPr>
          <w:rFonts w:ascii="標楷體" w:eastAsia="標楷體" w:hAnsi="標楷體" w:hint="eastAsia"/>
          <w:sz w:val="32"/>
          <w:szCs w:val="32"/>
        </w:rPr>
        <w:t>系統及</w:t>
      </w:r>
      <w:r w:rsidRPr="00566C1E">
        <w:rPr>
          <w:rFonts w:ascii="標楷體" w:eastAsia="標楷體" w:hAnsi="標楷體"/>
          <w:sz w:val="32"/>
          <w:szCs w:val="32"/>
        </w:rPr>
        <w:t>設備檢驗表</w:t>
      </w:r>
    </w:p>
    <w:p w:rsidR="00CF01E5" w:rsidRPr="00566C1E" w:rsidRDefault="00CF01E5" w:rsidP="00CF01E5">
      <w:pPr>
        <w:rPr>
          <w:rFonts w:ascii="標楷體" w:eastAsia="標楷體" w:hAnsi="標楷體"/>
          <w:sz w:val="32"/>
          <w:szCs w:val="32"/>
        </w:rPr>
      </w:pPr>
      <w:r w:rsidRPr="00566C1E">
        <w:rPr>
          <w:rFonts w:ascii="標楷體" w:eastAsia="標楷體" w:hAnsi="標楷體"/>
          <w:sz w:val="32"/>
          <w:szCs w:val="32"/>
        </w:rPr>
        <w:t>設置地址：</w:t>
      </w:r>
    </w:p>
    <w:p w:rsidR="00CF01E5" w:rsidRPr="00566C1E" w:rsidRDefault="00CF01E5" w:rsidP="00CF01E5">
      <w:pPr>
        <w:ind w:left="1619" w:hangingChars="506" w:hanging="1619"/>
        <w:rPr>
          <w:rFonts w:ascii="標楷體" w:eastAsia="標楷體" w:hAnsi="標楷體"/>
          <w:sz w:val="32"/>
          <w:szCs w:val="32"/>
        </w:rPr>
      </w:pPr>
      <w:r w:rsidRPr="00566C1E">
        <w:rPr>
          <w:rFonts w:ascii="標楷體" w:eastAsia="標楷體" w:hAnsi="標楷體"/>
          <w:sz w:val="32"/>
          <w:szCs w:val="32"/>
        </w:rPr>
        <w:t>設置容量：單一模組裝置容量__________</w:t>
      </w:r>
      <w:r w:rsidRPr="00566C1E">
        <w:rPr>
          <w:rFonts w:ascii="標楷體" w:eastAsia="標楷體" w:hAnsi="標楷體"/>
          <w:color w:val="545454"/>
          <w:sz w:val="32"/>
          <w:szCs w:val="32"/>
          <w:shd w:val="clear" w:color="auto" w:fill="FFFFFF"/>
        </w:rPr>
        <w:t>瓩</w:t>
      </w:r>
      <w:r w:rsidRPr="00566C1E">
        <w:rPr>
          <w:rFonts w:ascii="標楷體" w:eastAsia="標楷體" w:hAnsi="標楷體"/>
          <w:kern w:val="0"/>
          <w:sz w:val="32"/>
          <w:szCs w:val="32"/>
        </w:rPr>
        <w:t>（kWp）</w:t>
      </w:r>
    </w:p>
    <w:p w:rsidR="00CF01E5" w:rsidRPr="00566C1E" w:rsidRDefault="00CF01E5" w:rsidP="00CF01E5">
      <w:pPr>
        <w:ind w:leftChars="590" w:left="1416" w:firstLine="1"/>
        <w:rPr>
          <w:rFonts w:ascii="標楷體" w:eastAsia="標楷體" w:hAnsi="標楷體"/>
          <w:color w:val="545454"/>
          <w:sz w:val="32"/>
          <w:szCs w:val="32"/>
          <w:shd w:val="clear" w:color="auto" w:fill="FFFFFF"/>
        </w:rPr>
      </w:pPr>
      <w:r>
        <w:rPr>
          <w:rFonts w:ascii="標楷體" w:eastAsia="標楷體" w:hAnsi="標楷體" w:hint="eastAsia"/>
          <w:sz w:val="32"/>
          <w:szCs w:val="32"/>
        </w:rPr>
        <w:t xml:space="preserve"> </w:t>
      </w:r>
      <w:r w:rsidRPr="00566C1E">
        <w:rPr>
          <w:rFonts w:ascii="標楷體" w:eastAsia="標楷體" w:hAnsi="標楷體"/>
          <w:sz w:val="32"/>
          <w:szCs w:val="32"/>
        </w:rPr>
        <w:t>總裝置容量__________</w:t>
      </w:r>
      <w:r w:rsidRPr="00566C1E">
        <w:rPr>
          <w:rFonts w:ascii="標楷體" w:eastAsia="標楷體" w:hAnsi="標楷體"/>
          <w:color w:val="545454"/>
          <w:sz w:val="32"/>
          <w:szCs w:val="32"/>
          <w:shd w:val="clear" w:color="auto" w:fill="FFFFFF"/>
        </w:rPr>
        <w:t>瓩</w:t>
      </w:r>
      <w:r w:rsidRPr="00566C1E">
        <w:rPr>
          <w:rFonts w:ascii="標楷體" w:eastAsia="標楷體" w:hAnsi="標楷體"/>
          <w:kern w:val="0"/>
          <w:sz w:val="32"/>
          <w:szCs w:val="32"/>
        </w:rPr>
        <w:t>（kWp）</w:t>
      </w:r>
    </w:p>
    <w:p w:rsidR="00CF01E5" w:rsidRPr="0072343B" w:rsidRDefault="00CF01E5" w:rsidP="00CF01E5">
      <w:pPr>
        <w:snapToGrid w:val="0"/>
        <w:spacing w:line="520" w:lineRule="exact"/>
        <w:rPr>
          <w:rFonts w:ascii="標楷體" w:eastAsia="標楷體" w:hAnsi="標楷體"/>
          <w:sz w:val="32"/>
          <w:szCs w:val="32"/>
        </w:rPr>
      </w:pPr>
      <w:r w:rsidRPr="00566C1E">
        <w:rPr>
          <w:rFonts w:ascii="標楷體" w:eastAsia="標楷體" w:hAnsi="標楷體" w:hint="eastAsia"/>
          <w:sz w:val="32"/>
          <w:szCs w:val="32"/>
        </w:rPr>
        <w:t>本案業已於中華民國_</w:t>
      </w:r>
      <w:r w:rsidRPr="00566C1E">
        <w:rPr>
          <w:rFonts w:ascii="標楷體" w:eastAsia="標楷體" w:hAnsi="標楷體"/>
          <w:sz w:val="32"/>
          <w:szCs w:val="32"/>
        </w:rPr>
        <w:t>____</w:t>
      </w:r>
      <w:r w:rsidRPr="00566C1E">
        <w:rPr>
          <w:rFonts w:ascii="標楷體" w:eastAsia="標楷體" w:hAnsi="標楷體" w:hint="eastAsia"/>
          <w:sz w:val="32"/>
          <w:szCs w:val="32"/>
        </w:rPr>
        <w:t>_年_</w:t>
      </w:r>
      <w:r w:rsidRPr="00566C1E">
        <w:rPr>
          <w:rFonts w:ascii="標楷體" w:eastAsia="標楷體" w:hAnsi="標楷體"/>
          <w:sz w:val="32"/>
          <w:szCs w:val="32"/>
        </w:rPr>
        <w:t>__</w:t>
      </w:r>
      <w:r w:rsidRPr="00566C1E">
        <w:rPr>
          <w:rFonts w:ascii="標楷體" w:eastAsia="標楷體" w:hAnsi="標楷體" w:hint="eastAsia"/>
          <w:sz w:val="32"/>
          <w:szCs w:val="32"/>
        </w:rPr>
        <w:t>_月_</w:t>
      </w:r>
      <w:r w:rsidRPr="00566C1E">
        <w:rPr>
          <w:rFonts w:ascii="標楷體" w:eastAsia="標楷體" w:hAnsi="標楷體"/>
          <w:sz w:val="32"/>
          <w:szCs w:val="32"/>
        </w:rPr>
        <w:t>__</w:t>
      </w:r>
      <w:r w:rsidRPr="00566C1E">
        <w:rPr>
          <w:rFonts w:ascii="標楷體" w:eastAsia="標楷體" w:hAnsi="標楷體" w:hint="eastAsia"/>
          <w:sz w:val="32"/>
          <w:szCs w:val="32"/>
        </w:rPr>
        <w:t>_日按圖施工完竣，經本____</w:t>
      </w:r>
      <w:r w:rsidRPr="00566C1E">
        <w:rPr>
          <w:rFonts w:ascii="標楷體" w:eastAsia="標楷體" w:hAnsi="標楷體"/>
          <w:sz w:val="32"/>
          <w:szCs w:val="32"/>
        </w:rPr>
        <w:t>____________</w:t>
      </w:r>
      <w:r w:rsidRPr="00566C1E">
        <w:rPr>
          <w:rFonts w:ascii="標楷體" w:eastAsia="標楷體" w:hAnsi="標楷體" w:hint="eastAsia"/>
          <w:sz w:val="32"/>
          <w:szCs w:val="32"/>
        </w:rPr>
        <w:t>_____(建築師、土木技師或結構技師) 確認太陽光電發電設備之主結構、隔絕要求、太陽能模組、支撐架結構與組件、材質，</w:t>
      </w:r>
      <w:r w:rsidRPr="0072343B">
        <w:rPr>
          <w:rFonts w:ascii="標楷體" w:eastAsia="標楷體" w:hAnsi="標楷體" w:hint="eastAsia"/>
          <w:sz w:val="32"/>
          <w:szCs w:val="32"/>
        </w:rPr>
        <w:t>符合「</w:t>
      </w:r>
      <w:r w:rsidRPr="0072343B">
        <w:rPr>
          <w:rFonts w:ascii="標楷體" w:eastAsia="標楷體" w:hAnsi="標楷體" w:hint="eastAsia"/>
          <w:bCs/>
          <w:sz w:val="32"/>
          <w:szCs w:val="32"/>
        </w:rPr>
        <w:t>108年度嘉義縣所屬學校球場設置</w:t>
      </w:r>
      <w:r w:rsidRPr="0072343B">
        <w:rPr>
          <w:rFonts w:ascii="標楷體" w:eastAsia="標楷體" w:hAnsi="標楷體" w:cs="華康標楷體" w:hint="eastAsia"/>
          <w:color w:val="000000"/>
          <w:sz w:val="32"/>
          <w:szCs w:val="32"/>
        </w:rPr>
        <w:t>棚架式</w:t>
      </w:r>
      <w:r w:rsidRPr="0072343B">
        <w:rPr>
          <w:rFonts w:ascii="標楷體" w:eastAsia="標楷體" w:hAnsi="標楷體" w:hint="eastAsia"/>
          <w:bCs/>
          <w:sz w:val="32"/>
          <w:szCs w:val="32"/>
        </w:rPr>
        <w:t>太陽光電系統公開標租案租賃契約書</w:t>
      </w:r>
      <w:r w:rsidRPr="0072343B">
        <w:rPr>
          <w:rFonts w:ascii="標楷體" w:eastAsia="標楷體" w:hAnsi="標楷體" w:hint="eastAsia"/>
          <w:sz w:val="32"/>
          <w:szCs w:val="32"/>
        </w:rPr>
        <w:t>」第二條之規定。</w:t>
      </w:r>
    </w:p>
    <w:p w:rsidR="00CF01E5" w:rsidRPr="00566C1E" w:rsidRDefault="00CF01E5" w:rsidP="00CF01E5">
      <w:pPr>
        <w:rPr>
          <w:rFonts w:ascii="標楷體" w:eastAsia="標楷體" w:hAnsi="標楷體"/>
          <w:sz w:val="32"/>
          <w:szCs w:val="32"/>
        </w:rPr>
      </w:pPr>
    </w:p>
    <w:p w:rsidR="00CF01E5" w:rsidRPr="00566C1E" w:rsidRDefault="00CF01E5" w:rsidP="00CF01E5">
      <w:pPr>
        <w:rPr>
          <w:rFonts w:ascii="標楷體" w:eastAsia="標楷體" w:hAnsi="標楷體"/>
          <w:sz w:val="32"/>
          <w:szCs w:val="32"/>
        </w:rPr>
      </w:pPr>
      <w:r w:rsidRPr="00566C1E">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14:anchorId="58283982" wp14:editId="1A3308F2">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1E5" w:rsidRPr="00122093" w:rsidRDefault="00CF01E5" w:rsidP="00CF01E5">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83982"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" filled="f" stroked="f" strokeweight=".5pt">
                <v:textbox>
                  <w:txbxContent>
                    <w:p w:rsidR="00CF01E5" w:rsidRPr="00122093" w:rsidRDefault="00CF01E5" w:rsidP="00CF01E5">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566C1E">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2EAE1CA" wp14:editId="77E4CCDC">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6EB3C"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" filled="f" strokecolor="black [3213]" strokeweight="1pt">
                <v:stroke dashstyle="dash"/>
              </v:rect>
            </w:pict>
          </mc:Fallback>
        </mc:AlternateContent>
      </w:r>
      <w:r w:rsidRPr="00566C1E">
        <w:rPr>
          <w:rFonts w:ascii="標楷體" w:eastAsia="標楷體" w:hAnsi="標楷體"/>
          <w:sz w:val="32"/>
          <w:szCs w:val="32"/>
        </w:rPr>
        <w:t>簽名</w:t>
      </w:r>
      <w:r w:rsidRPr="00566C1E">
        <w:rPr>
          <w:rFonts w:ascii="標楷體" w:eastAsia="標楷體" w:hAnsi="標楷體" w:hint="eastAsia"/>
          <w:sz w:val="32"/>
          <w:szCs w:val="32"/>
        </w:rPr>
        <w:t>或蓋章：</w:t>
      </w:r>
    </w:p>
    <w:p w:rsidR="00CF01E5" w:rsidRPr="00566C1E" w:rsidRDefault="00CF01E5" w:rsidP="00CF01E5">
      <w:pPr>
        <w:rPr>
          <w:rFonts w:ascii="標楷體" w:eastAsia="標楷體" w:hAnsi="標楷體"/>
          <w:sz w:val="32"/>
          <w:szCs w:val="32"/>
        </w:rPr>
      </w:pPr>
      <w:r w:rsidRPr="00566C1E">
        <w:rPr>
          <w:rFonts w:ascii="標楷體" w:eastAsia="標楷體" w:hAnsi="標楷體" w:hint="eastAsia"/>
          <w:sz w:val="32"/>
          <w:szCs w:val="32"/>
        </w:rPr>
        <w:t>開業/執業執照號碼：</w:t>
      </w:r>
    </w:p>
    <w:p w:rsidR="00CF01E5" w:rsidRPr="00566C1E" w:rsidRDefault="00CF01E5" w:rsidP="00CF01E5">
      <w:pPr>
        <w:rPr>
          <w:rFonts w:ascii="標楷體" w:eastAsia="標楷體" w:hAnsi="標楷體"/>
          <w:sz w:val="32"/>
          <w:szCs w:val="32"/>
        </w:rPr>
      </w:pPr>
      <w:r w:rsidRPr="00566C1E">
        <w:rPr>
          <w:rFonts w:ascii="標楷體" w:eastAsia="標楷體" w:hAnsi="標楷體"/>
          <w:sz w:val="32"/>
          <w:szCs w:val="32"/>
        </w:rPr>
        <w:t>事務所名稱</w:t>
      </w:r>
      <w:r w:rsidRPr="00566C1E">
        <w:rPr>
          <w:rFonts w:ascii="標楷體" w:eastAsia="標楷體" w:hAnsi="標楷體" w:hint="eastAsia"/>
          <w:sz w:val="32"/>
          <w:szCs w:val="32"/>
        </w:rPr>
        <w:t>：</w:t>
      </w:r>
    </w:p>
    <w:p w:rsidR="00CF01E5" w:rsidRPr="00566C1E" w:rsidRDefault="00CF01E5" w:rsidP="00CF01E5">
      <w:pPr>
        <w:rPr>
          <w:rFonts w:ascii="標楷體" w:eastAsia="標楷體" w:hAnsi="標楷體"/>
          <w:sz w:val="32"/>
          <w:szCs w:val="32"/>
        </w:rPr>
      </w:pPr>
    </w:p>
    <w:p w:rsidR="00CF01E5" w:rsidRPr="00566C1E" w:rsidRDefault="00CF01E5" w:rsidP="00CF01E5">
      <w:pPr>
        <w:rPr>
          <w:rFonts w:ascii="標楷體" w:eastAsia="標楷體" w:hAnsi="標楷體"/>
          <w:sz w:val="32"/>
          <w:szCs w:val="32"/>
        </w:rPr>
      </w:pPr>
    </w:p>
    <w:p w:rsidR="00CF01E5" w:rsidRPr="00566C1E" w:rsidRDefault="00CF01E5" w:rsidP="00CF01E5">
      <w:pPr>
        <w:jc w:val="distribute"/>
        <w:rPr>
          <w:rFonts w:ascii="標楷體" w:eastAsia="標楷體" w:hAnsi="標楷體"/>
          <w:sz w:val="32"/>
          <w:szCs w:val="32"/>
        </w:rPr>
      </w:pPr>
      <w:r w:rsidRPr="00566C1E">
        <w:rPr>
          <w:rFonts w:ascii="標楷體" w:eastAsia="標楷體" w:hAnsi="標楷體" w:hint="eastAsia"/>
          <w:sz w:val="32"/>
          <w:szCs w:val="32"/>
        </w:rPr>
        <w:t xml:space="preserve">中華民國  </w:t>
      </w:r>
      <w:r w:rsidRPr="00566C1E">
        <w:rPr>
          <w:rFonts w:ascii="標楷體" w:eastAsia="標楷體" w:hAnsi="標楷體"/>
          <w:sz w:val="32"/>
          <w:szCs w:val="32"/>
        </w:rPr>
        <w:t xml:space="preserve">  </w:t>
      </w:r>
      <w:r w:rsidRPr="00566C1E">
        <w:rPr>
          <w:rFonts w:ascii="標楷體" w:eastAsia="標楷體" w:hAnsi="標楷體" w:hint="eastAsia"/>
          <w:sz w:val="32"/>
          <w:szCs w:val="32"/>
        </w:rPr>
        <w:t xml:space="preserve">  年    月 </w:t>
      </w:r>
      <w:r w:rsidRPr="00566C1E">
        <w:rPr>
          <w:rFonts w:ascii="標楷體" w:eastAsia="標楷體" w:hAnsi="標楷體"/>
          <w:sz w:val="32"/>
          <w:szCs w:val="32"/>
        </w:rPr>
        <w:t xml:space="preserve"> </w:t>
      </w:r>
      <w:r w:rsidRPr="00566C1E">
        <w:rPr>
          <w:rFonts w:ascii="標楷體" w:eastAsia="標楷體" w:hAnsi="標楷體" w:hint="eastAsia"/>
          <w:sz w:val="32"/>
          <w:szCs w:val="32"/>
        </w:rPr>
        <w:t xml:space="preserve">  日</w:t>
      </w:r>
    </w:p>
    <w:p w:rsidR="00CF01E5" w:rsidRDefault="00CF01E5" w:rsidP="00CF01E5">
      <w:pPr>
        <w:jc w:val="distribute"/>
        <w:rPr>
          <w:rFonts w:asciiTheme="minorEastAsia" w:hAnsiTheme="minorEastAsia"/>
          <w:sz w:val="36"/>
          <w:szCs w:val="40"/>
        </w:rPr>
      </w:pPr>
    </w:p>
    <w:p w:rsidR="00CF01E5" w:rsidRDefault="00CF01E5" w:rsidP="00CF01E5">
      <w:pPr>
        <w:jc w:val="center"/>
        <w:outlineLvl w:val="0"/>
        <w:rPr>
          <w:rFonts w:ascii="標楷體" w:eastAsia="標楷體" w:hAnsi="標楷體"/>
          <w:b/>
          <w:color w:val="000000" w:themeColor="text1"/>
          <w:sz w:val="28"/>
          <w:szCs w:val="28"/>
        </w:rPr>
      </w:pPr>
      <w:bookmarkStart w:id="1" w:name="_Toc4666256"/>
      <w:bookmarkStart w:id="2" w:name="_Toc6305123"/>
    </w:p>
    <w:p w:rsidR="00CF01E5" w:rsidRDefault="00CF01E5" w:rsidP="00CF01E5">
      <w:pPr>
        <w:jc w:val="center"/>
        <w:outlineLvl w:val="0"/>
        <w:rPr>
          <w:rFonts w:ascii="標楷體" w:eastAsia="標楷體" w:hAnsi="標楷體"/>
          <w:b/>
          <w:color w:val="000000" w:themeColor="text1"/>
          <w:sz w:val="28"/>
          <w:szCs w:val="28"/>
        </w:rPr>
      </w:pPr>
    </w:p>
    <w:p w:rsidR="00CF01E5" w:rsidRDefault="00CF01E5" w:rsidP="00CF01E5">
      <w:pPr>
        <w:jc w:val="center"/>
        <w:outlineLvl w:val="0"/>
        <w:rPr>
          <w:rFonts w:ascii="標楷體" w:eastAsia="標楷體" w:hAnsi="標楷體"/>
          <w:b/>
          <w:color w:val="000000" w:themeColor="text1"/>
          <w:sz w:val="28"/>
          <w:szCs w:val="28"/>
        </w:rPr>
      </w:pPr>
    </w:p>
    <w:p w:rsidR="00CF01E5" w:rsidRDefault="00CF01E5" w:rsidP="00CF01E5">
      <w:pPr>
        <w:jc w:val="center"/>
        <w:outlineLvl w:val="0"/>
        <w:rPr>
          <w:rFonts w:ascii="標楷體" w:eastAsia="標楷體" w:hAnsi="標楷體"/>
          <w:b/>
          <w:color w:val="000000" w:themeColor="text1"/>
          <w:sz w:val="28"/>
          <w:szCs w:val="28"/>
        </w:rPr>
      </w:pPr>
    </w:p>
    <w:p w:rsidR="00CF01E5" w:rsidRPr="00AD78A5" w:rsidRDefault="00CF01E5" w:rsidP="00CF01E5">
      <w:pPr>
        <w:jc w:val="center"/>
        <w:outlineLvl w:val="0"/>
        <w:rPr>
          <w:rFonts w:ascii="標楷體" w:eastAsia="標楷體" w:hAnsi="標楷體"/>
          <w:sz w:val="28"/>
          <w:szCs w:val="28"/>
        </w:rPr>
      </w:pPr>
      <w:r w:rsidRPr="00566C1E">
        <w:rPr>
          <w:rFonts w:ascii="標楷體" w:eastAsia="標楷體" w:hAnsi="標楷體" w:hint="eastAsia"/>
          <w:b/>
          <w:color w:val="000000" w:themeColor="text1"/>
          <w:sz w:val="28"/>
          <w:szCs w:val="28"/>
        </w:rPr>
        <w:lastRenderedPageBreak/>
        <w:t>1</w:t>
      </w:r>
      <w:r w:rsidRPr="00AD78A5">
        <w:rPr>
          <w:rFonts w:ascii="標楷體" w:eastAsia="標楷體" w:hAnsi="標楷體" w:hint="eastAsia"/>
          <w:color w:val="000000" w:themeColor="text1"/>
          <w:sz w:val="28"/>
          <w:szCs w:val="28"/>
        </w:rPr>
        <w:t>08</w:t>
      </w:r>
      <w:r w:rsidRPr="00AD78A5">
        <w:rPr>
          <w:rFonts w:ascii="標楷體" w:eastAsia="標楷體" w:hAnsi="標楷體"/>
          <w:sz w:val="28"/>
          <w:szCs w:val="28"/>
        </w:rPr>
        <w:t>年度</w:t>
      </w:r>
      <w:r w:rsidRPr="00AD78A5">
        <w:rPr>
          <w:rFonts w:ascii="標楷體" w:eastAsia="標楷體" w:hAnsi="標楷體" w:hint="eastAsia"/>
          <w:sz w:val="28"/>
          <w:szCs w:val="28"/>
        </w:rPr>
        <w:t>嘉義縣</w:t>
      </w:r>
      <w:r w:rsidRPr="00AD78A5">
        <w:rPr>
          <w:rFonts w:ascii="標楷體" w:eastAsia="標楷體" w:hAnsi="標楷體"/>
          <w:sz w:val="28"/>
          <w:szCs w:val="28"/>
        </w:rPr>
        <w:t>所屬學校</w:t>
      </w:r>
      <w:r w:rsidRPr="00AD78A5">
        <w:rPr>
          <w:rFonts w:ascii="標楷體" w:eastAsia="標楷體" w:hAnsi="標楷體" w:hint="eastAsia"/>
          <w:bCs/>
          <w:sz w:val="28"/>
          <w:szCs w:val="28"/>
        </w:rPr>
        <w:t>球場設置</w:t>
      </w:r>
      <w:r w:rsidRPr="00AD78A5">
        <w:rPr>
          <w:rFonts w:ascii="標楷體" w:eastAsia="標楷體" w:hAnsi="標楷體" w:cs="華康標楷體" w:hint="eastAsia"/>
          <w:color w:val="000000"/>
          <w:sz w:val="28"/>
          <w:szCs w:val="28"/>
        </w:rPr>
        <w:t>棚架式</w:t>
      </w:r>
      <w:r w:rsidRPr="00AD78A5">
        <w:rPr>
          <w:rFonts w:ascii="標楷體" w:eastAsia="標楷體" w:hAnsi="標楷體" w:hint="eastAsia"/>
          <w:bCs/>
          <w:sz w:val="28"/>
          <w:szCs w:val="28"/>
        </w:rPr>
        <w:t>太陽光電系統檢</w:t>
      </w:r>
      <w:r w:rsidRPr="00AD78A5">
        <w:rPr>
          <w:rFonts w:ascii="標楷體" w:eastAsia="標楷體" w:hAnsi="標楷體"/>
          <w:sz w:val="28"/>
          <w:szCs w:val="28"/>
        </w:rPr>
        <w:t>驗項目</w:t>
      </w:r>
      <w:bookmarkEnd w:id="1"/>
      <w:bookmarkEnd w:id="2"/>
    </w:p>
    <w:p w:rsidR="00CF01E5" w:rsidRPr="00AD78A5" w:rsidRDefault="00CF01E5" w:rsidP="00CF01E5">
      <w:pPr>
        <w:jc w:val="center"/>
        <w:rPr>
          <w:rFonts w:eastAsia="標楷體"/>
          <w:sz w:val="28"/>
          <w:szCs w:val="28"/>
        </w:rPr>
      </w:pP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511"/>
        <w:gridCol w:w="8486"/>
        <w:gridCol w:w="950"/>
        <w:gridCol w:w="792"/>
      </w:tblGrid>
      <w:tr w:rsidR="00CF01E5" w:rsidRPr="00C7464C" w:rsidTr="00D44799">
        <w:trPr>
          <w:trHeight w:val="210"/>
        </w:trPr>
        <w:tc>
          <w:tcPr>
            <w:tcW w:w="228" w:type="pct"/>
            <w:vAlign w:val="center"/>
          </w:tcPr>
          <w:p w:rsidR="00CF01E5" w:rsidRPr="00C7464C" w:rsidRDefault="00CF01E5" w:rsidP="00D44799">
            <w:pPr>
              <w:spacing w:line="360" w:lineRule="exact"/>
              <w:jc w:val="center"/>
              <w:rPr>
                <w:rFonts w:eastAsia="標楷體"/>
              </w:rPr>
            </w:pPr>
            <w:r w:rsidRPr="00C7464C">
              <w:rPr>
                <w:rFonts w:eastAsia="標楷體"/>
              </w:rPr>
              <w:t>類別</w:t>
            </w: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項次</w:t>
            </w:r>
          </w:p>
        </w:tc>
        <w:tc>
          <w:tcPr>
            <w:tcW w:w="3770" w:type="pct"/>
            <w:vAlign w:val="center"/>
          </w:tcPr>
          <w:p w:rsidR="00CF01E5" w:rsidRPr="00C7464C" w:rsidRDefault="00CF01E5" w:rsidP="00D44799">
            <w:pPr>
              <w:spacing w:line="360" w:lineRule="exact"/>
              <w:jc w:val="center"/>
              <w:rPr>
                <w:rFonts w:eastAsia="標楷體"/>
              </w:rPr>
            </w:pPr>
            <w:r w:rsidRPr="00C7464C">
              <w:rPr>
                <w:rFonts w:eastAsia="標楷體"/>
              </w:rPr>
              <w:t>項目</w:t>
            </w:r>
          </w:p>
        </w:tc>
        <w:tc>
          <w:tcPr>
            <w:tcW w:w="422" w:type="pct"/>
            <w:vAlign w:val="center"/>
          </w:tcPr>
          <w:p w:rsidR="00CF01E5" w:rsidRPr="00C7464C" w:rsidRDefault="00CF01E5" w:rsidP="00D44799">
            <w:pPr>
              <w:spacing w:line="360" w:lineRule="exact"/>
              <w:jc w:val="center"/>
              <w:rPr>
                <w:rFonts w:eastAsia="標楷體"/>
              </w:rPr>
            </w:pPr>
            <w:r w:rsidRPr="00C7464C">
              <w:rPr>
                <w:rFonts w:eastAsia="標楷體"/>
              </w:rPr>
              <w:t>檢查</w:t>
            </w:r>
          </w:p>
          <w:p w:rsidR="00CF01E5" w:rsidRPr="00C7464C" w:rsidRDefault="00CF01E5" w:rsidP="00D44799">
            <w:pPr>
              <w:spacing w:line="360" w:lineRule="exact"/>
              <w:jc w:val="center"/>
              <w:rPr>
                <w:rFonts w:eastAsia="標楷體"/>
              </w:rPr>
            </w:pPr>
            <w:r w:rsidRPr="00C7464C">
              <w:rPr>
                <w:rFonts w:eastAsia="標楷體"/>
              </w:rPr>
              <w:t>結果</w:t>
            </w:r>
          </w:p>
        </w:tc>
        <w:tc>
          <w:tcPr>
            <w:tcW w:w="352" w:type="pct"/>
          </w:tcPr>
          <w:p w:rsidR="00CF01E5" w:rsidRPr="00C7464C" w:rsidRDefault="00CF01E5" w:rsidP="00D44799">
            <w:pPr>
              <w:spacing w:line="360" w:lineRule="exact"/>
              <w:jc w:val="center"/>
              <w:rPr>
                <w:rFonts w:eastAsia="標楷體"/>
              </w:rPr>
            </w:pPr>
            <w:r w:rsidRPr="00C7464C">
              <w:rPr>
                <w:rFonts w:eastAsia="標楷體"/>
              </w:rPr>
              <w:t>備註</w:t>
            </w:r>
          </w:p>
        </w:tc>
      </w:tr>
      <w:tr w:rsidR="00CF01E5" w:rsidRPr="00C7464C" w:rsidTr="00D44799">
        <w:trPr>
          <w:trHeight w:val="302"/>
        </w:trPr>
        <w:tc>
          <w:tcPr>
            <w:tcW w:w="228" w:type="pct"/>
            <w:vMerge w:val="restart"/>
            <w:vAlign w:val="center"/>
          </w:tcPr>
          <w:p w:rsidR="00CF01E5" w:rsidRPr="00C7464C" w:rsidRDefault="00CF01E5" w:rsidP="00D44799">
            <w:pPr>
              <w:spacing w:line="360" w:lineRule="exact"/>
              <w:jc w:val="center"/>
              <w:rPr>
                <w:rFonts w:eastAsia="標楷體"/>
              </w:rPr>
            </w:pPr>
            <w:r w:rsidRPr="00C7464C">
              <w:rPr>
                <w:rFonts w:eastAsia="標楷體"/>
              </w:rPr>
              <w:t>風雨球場結構</w:t>
            </w: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設置之棚架式太陽光電發電系統住高起算點為屋頂下緣算起</w:t>
            </w:r>
            <w:r w:rsidRPr="00C7464C">
              <w:rPr>
                <w:rFonts w:eastAsia="標楷體"/>
              </w:rPr>
              <w:t>7</w:t>
            </w:r>
            <w:r w:rsidRPr="00C7464C">
              <w:rPr>
                <w:rFonts w:eastAsia="標楷體"/>
              </w:rPr>
              <w:t>公尺，且須完整覆蓋整個施作標的基地。屋頂斜率以</w:t>
            </w:r>
            <w:r w:rsidRPr="00C7464C">
              <w:rPr>
                <w:rFonts w:eastAsia="標楷體"/>
              </w:rPr>
              <w:t>6~8</w:t>
            </w:r>
            <w:r w:rsidRPr="00C7464C">
              <w:rPr>
                <w:rFonts w:eastAsia="標楷體"/>
              </w:rPr>
              <w:t>度範圍內為佳。</w:t>
            </w:r>
          </w:p>
        </w:tc>
        <w:tc>
          <w:tcPr>
            <w:tcW w:w="422" w:type="pct"/>
            <w:vAlign w:val="center"/>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265"/>
        </w:trPr>
        <w:tc>
          <w:tcPr>
            <w:tcW w:w="228" w:type="pct"/>
            <w:vMerge/>
            <w:vAlign w:val="center"/>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2</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基地之</w:t>
            </w:r>
            <w:r w:rsidRPr="00C7464C">
              <w:rPr>
                <w:rFonts w:eastAsia="標楷體"/>
                <w:u w:val="single"/>
              </w:rPr>
              <w:t>支柱</w:t>
            </w:r>
            <w:r w:rsidRPr="00C7464C">
              <w:rPr>
                <w:rFonts w:eastAsia="標楷體"/>
              </w:rPr>
              <w:t>需包覆由地面起算高度達</w:t>
            </w:r>
            <w:r w:rsidRPr="00C7464C">
              <w:rPr>
                <w:rFonts w:eastAsia="標楷體"/>
              </w:rPr>
              <w:t>2</w:t>
            </w:r>
            <w:r w:rsidRPr="00C7464C">
              <w:rPr>
                <w:rFonts w:eastAsia="標楷體"/>
              </w:rPr>
              <w:t>公尺的防護墊</w:t>
            </w:r>
            <w:r w:rsidRPr="00C7464C">
              <w:rPr>
                <w:rFonts w:eastAsia="標楷體"/>
              </w:rPr>
              <w:t>(</w:t>
            </w:r>
            <w:r w:rsidRPr="00C7464C">
              <w:rPr>
                <w:rFonts w:eastAsia="標楷體"/>
              </w:rPr>
              <w:t>材質</w:t>
            </w:r>
            <w:r w:rsidRPr="00C7464C">
              <w:rPr>
                <w:rFonts w:eastAsia="標楷體"/>
              </w:rPr>
              <w:t>:EVA</w:t>
            </w:r>
            <w:r w:rsidRPr="00C7464C">
              <w:rPr>
                <w:rFonts w:eastAsia="標楷體"/>
              </w:rPr>
              <w:t>、厚度</w:t>
            </w:r>
            <w:r w:rsidRPr="00C7464C">
              <w:rPr>
                <w:rFonts w:eastAsia="標楷體"/>
              </w:rPr>
              <w:t>:3cm)</w:t>
            </w:r>
            <w:r w:rsidRPr="00C7464C">
              <w:rPr>
                <w:rFonts w:eastAsia="標楷體"/>
              </w:rPr>
              <w:t>，防止觸電</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266"/>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3</w:t>
            </w:r>
          </w:p>
        </w:tc>
        <w:tc>
          <w:tcPr>
            <w:tcW w:w="3770" w:type="pct"/>
            <w:vAlign w:val="center"/>
          </w:tcPr>
          <w:p w:rsidR="00CF01E5" w:rsidRPr="00C7464C" w:rsidRDefault="00CF01E5" w:rsidP="00D44799">
            <w:pPr>
              <w:overflowPunct w:val="0"/>
              <w:spacing w:line="360" w:lineRule="exact"/>
              <w:jc w:val="both"/>
              <w:rPr>
                <w:rFonts w:eastAsia="標楷體"/>
              </w:rPr>
            </w:pPr>
            <w:r w:rsidRPr="00C7464C">
              <w:rPr>
                <w:rFonts w:eastAsia="標楷體"/>
              </w:rPr>
              <w:t>裝設</w:t>
            </w:r>
            <w:r>
              <w:rPr>
                <w:rFonts w:eastAsia="標楷體" w:hint="eastAsia"/>
              </w:rPr>
              <w:t>鍍鋅鋼板屋頂</w:t>
            </w:r>
            <w:r w:rsidRPr="00C7464C">
              <w:rPr>
                <w:rFonts w:eastAsia="標楷體"/>
              </w:rPr>
              <w:t>，預防球直接接觸太陽能板。</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overflowPunct w:val="0"/>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overflowPunct w:val="0"/>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4</w:t>
            </w:r>
          </w:p>
        </w:tc>
        <w:tc>
          <w:tcPr>
            <w:tcW w:w="3770" w:type="pct"/>
            <w:vAlign w:val="center"/>
          </w:tcPr>
          <w:p w:rsidR="00CF01E5" w:rsidRPr="00C7464C" w:rsidRDefault="00CF01E5" w:rsidP="00D44799">
            <w:pPr>
              <w:overflowPunct w:val="0"/>
              <w:spacing w:line="360" w:lineRule="exact"/>
              <w:jc w:val="both"/>
              <w:rPr>
                <w:rFonts w:eastAsia="標楷體"/>
              </w:rPr>
            </w:pPr>
            <w:r w:rsidRPr="00C7464C">
              <w:rPr>
                <w:rFonts w:eastAsia="標楷體"/>
              </w:rPr>
              <w:t>加裝設漏電斷路器，且需符合「用戶用電設備裝置規則」、「電工法規」等相關規定，並於施工完成後確認漏電斷路器使用功能正常。</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overflowPunct w:val="0"/>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overflowPunct w:val="0"/>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5</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相關線路接地標準應依「電工法規」或「屋內線路裝置規則」等規範施作。</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val="restart"/>
            <w:vAlign w:val="center"/>
          </w:tcPr>
          <w:p w:rsidR="00CF01E5" w:rsidRPr="00C7464C" w:rsidRDefault="00CF01E5" w:rsidP="00D44799">
            <w:pPr>
              <w:spacing w:line="360" w:lineRule="exact"/>
              <w:jc w:val="center"/>
              <w:rPr>
                <w:rFonts w:eastAsia="標楷體"/>
              </w:rPr>
            </w:pPr>
            <w:r w:rsidRPr="00C7464C">
              <w:rPr>
                <w:rFonts w:eastAsia="標楷體"/>
              </w:rPr>
              <w:t>太陽光電模組</w:t>
            </w: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6</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太陽光電模組產品須全數符合經濟部標檢局「台灣高效能太陽光電模組技術規範」自願性產品驗證及通過「太陽光電自願性產品驗證工廠檢查特定規範」</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253"/>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7</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系統規格要求根據「用戶用電設備裝置規則」內太陽能系統專章。並另提出機電技師簽證。</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339"/>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8</w:t>
            </w:r>
          </w:p>
        </w:tc>
        <w:tc>
          <w:tcPr>
            <w:tcW w:w="3770" w:type="pct"/>
            <w:vAlign w:val="center"/>
          </w:tcPr>
          <w:p w:rsidR="00CF01E5" w:rsidRPr="00C7464C" w:rsidRDefault="00CF01E5" w:rsidP="00D44799">
            <w:pPr>
              <w:spacing w:line="360" w:lineRule="exact"/>
              <w:jc w:val="both"/>
              <w:rPr>
                <w:rFonts w:eastAsia="標楷體"/>
                <w:u w:val="single"/>
              </w:rPr>
            </w:pPr>
            <w:r w:rsidRPr="00C7464C">
              <w:rPr>
                <w:rFonts w:eastAsia="標楷體"/>
              </w:rPr>
              <w:t>太陽光電模組鋁框與鋼構材接觸位置是否加裝鐵氟龍絕緣墊片以隔開二者，避免產生電位差腐蝕</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609"/>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9</w:t>
            </w:r>
          </w:p>
        </w:tc>
        <w:tc>
          <w:tcPr>
            <w:tcW w:w="3770" w:type="pct"/>
            <w:vAlign w:val="center"/>
          </w:tcPr>
          <w:p w:rsidR="00CF01E5" w:rsidRPr="00C7464C" w:rsidRDefault="00CF01E5" w:rsidP="00D44799">
            <w:pPr>
              <w:spacing w:line="360" w:lineRule="exact"/>
              <w:jc w:val="both"/>
              <w:rPr>
                <w:rFonts w:eastAsia="標楷體"/>
                <w:u w:val="single"/>
              </w:rPr>
            </w:pPr>
            <w:r w:rsidRPr="00C7464C">
              <w:rPr>
                <w:rFonts w:eastAsia="標楷體"/>
              </w:rPr>
              <w:t>螺絲組與太陽光電模組鋁框接觸處之平板華司下方應再加裝鐵氟龍絕緣墊片以隔開螺絲組及模組鋁框</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239"/>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10</w:t>
            </w:r>
          </w:p>
        </w:tc>
        <w:tc>
          <w:tcPr>
            <w:tcW w:w="3770" w:type="pct"/>
            <w:vAlign w:val="center"/>
          </w:tcPr>
          <w:p w:rsidR="00CF01E5" w:rsidRPr="00C7464C" w:rsidRDefault="00CF01E5" w:rsidP="00D44799">
            <w:pPr>
              <w:overflowPunct w:val="0"/>
              <w:spacing w:line="360" w:lineRule="exact"/>
              <w:jc w:val="both"/>
              <w:rPr>
                <w:rFonts w:eastAsia="標楷體"/>
              </w:rPr>
            </w:pPr>
            <w:r w:rsidRPr="00C7464C">
              <w:rPr>
                <w:rFonts w:eastAsia="標楷體"/>
              </w:rPr>
              <w:t>為避免場地濕滑，整體設計應達到防漏水。惟雨天是否可教學、提供民眾使用需視當天狀況而定。</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overflowPunct w:val="0"/>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overflowPunct w:val="0"/>
              <w:spacing w:line="360" w:lineRule="exact"/>
              <w:jc w:val="both"/>
              <w:rPr>
                <w:rFonts w:eastAsia="標楷體"/>
              </w:rPr>
            </w:pPr>
          </w:p>
        </w:tc>
      </w:tr>
      <w:tr w:rsidR="00CF01E5" w:rsidRPr="00C7464C" w:rsidTr="00D44799">
        <w:trPr>
          <w:trHeight w:val="454"/>
        </w:trPr>
        <w:tc>
          <w:tcPr>
            <w:tcW w:w="228" w:type="pct"/>
            <w:vMerge w:val="restart"/>
            <w:vAlign w:val="center"/>
          </w:tcPr>
          <w:p w:rsidR="00CF01E5" w:rsidRPr="00C7464C" w:rsidRDefault="00CF01E5" w:rsidP="00D44799">
            <w:pPr>
              <w:spacing w:line="360" w:lineRule="exact"/>
              <w:jc w:val="center"/>
              <w:rPr>
                <w:rFonts w:eastAsia="標楷體"/>
              </w:rPr>
            </w:pPr>
            <w:r w:rsidRPr="00C7464C">
              <w:rPr>
                <w:rFonts w:eastAsia="標楷體"/>
              </w:rPr>
              <w:t>支撐架與</w:t>
            </w:r>
          </w:p>
          <w:p w:rsidR="00CF01E5" w:rsidRPr="00C7464C" w:rsidRDefault="00CF01E5" w:rsidP="00D44799">
            <w:pPr>
              <w:spacing w:line="360" w:lineRule="exact"/>
              <w:jc w:val="center"/>
              <w:rPr>
                <w:rFonts w:eastAsia="標楷體"/>
              </w:rPr>
            </w:pPr>
            <w:r w:rsidRPr="00C7464C">
              <w:rPr>
                <w:rFonts w:eastAsia="標楷體"/>
              </w:rPr>
              <w:t>連結組件設計</w:t>
            </w: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11</w:t>
            </w:r>
          </w:p>
        </w:tc>
        <w:tc>
          <w:tcPr>
            <w:tcW w:w="3770" w:type="pct"/>
            <w:vAlign w:val="center"/>
          </w:tcPr>
          <w:p w:rsidR="00CF01E5" w:rsidRPr="00C7464C" w:rsidRDefault="00CF01E5" w:rsidP="00D44799">
            <w:pPr>
              <w:pStyle w:val="TableParagraph"/>
              <w:snapToGrid w:val="0"/>
              <w:spacing w:line="360" w:lineRule="exact"/>
              <w:ind w:right="96"/>
              <w:jc w:val="both"/>
              <w:rPr>
                <w:rFonts w:ascii="Times New Roman" w:eastAsia="標楷體" w:hAnsi="Times New Roman" w:cs="Times New Roman"/>
                <w:sz w:val="24"/>
                <w:szCs w:val="24"/>
                <w:lang w:eastAsia="zh-TW"/>
              </w:rPr>
            </w:pPr>
            <w:r w:rsidRPr="00C7464C">
              <w:rPr>
                <w:rFonts w:ascii="Times New Roman" w:eastAsia="標楷體" w:hAnsi="Times New Roman" w:cs="Times New Roman"/>
                <w:sz w:val="24"/>
                <w:szCs w:val="24"/>
                <w:lang w:eastAsia="zh-TW"/>
              </w:rPr>
              <w:t>結結構設計應符合「建築物耐風設計規範及解說」之規定，惟依據「國有公用不動產設置太陽光電發電設備租賃契約書」訂定基本設計風速在</w:t>
            </w:r>
            <w:r w:rsidRPr="00C7464C">
              <w:rPr>
                <w:rFonts w:ascii="Times New Roman" w:eastAsia="標楷體" w:hAnsi="Times New Roman" w:cs="Times New Roman"/>
                <w:sz w:val="24"/>
                <w:szCs w:val="24"/>
                <w:lang w:eastAsia="zh-TW"/>
              </w:rPr>
              <w:t>32.5</w:t>
            </w:r>
            <w:r w:rsidRPr="00C7464C">
              <w:rPr>
                <w:rFonts w:ascii="Times New Roman" w:eastAsia="標楷體" w:hAnsi="Times New Roman" w:cs="Times New Roman"/>
                <w:sz w:val="24"/>
                <w:szCs w:val="24"/>
                <w:lang w:eastAsia="zh-TW"/>
              </w:rPr>
              <w:t>公尺</w:t>
            </w:r>
            <w:r w:rsidRPr="00C7464C">
              <w:rPr>
                <w:rFonts w:ascii="Times New Roman" w:eastAsia="標楷體" w:hAnsi="Times New Roman" w:cs="Times New Roman"/>
                <w:sz w:val="24"/>
                <w:szCs w:val="24"/>
                <w:lang w:eastAsia="zh-TW"/>
              </w:rPr>
              <w:t>/</w:t>
            </w:r>
            <w:r w:rsidRPr="00C7464C">
              <w:rPr>
                <w:rFonts w:ascii="Times New Roman" w:eastAsia="標楷體" w:hAnsi="Times New Roman" w:cs="Times New Roman"/>
                <w:sz w:val="24"/>
                <w:szCs w:val="24"/>
                <w:lang w:eastAsia="zh-TW"/>
              </w:rPr>
              <w:t>秒以下地區者，須採用</w:t>
            </w:r>
            <w:r w:rsidRPr="00C7464C">
              <w:rPr>
                <w:rFonts w:ascii="Times New Roman" w:eastAsia="標楷體" w:hAnsi="Times New Roman" w:cs="Times New Roman"/>
                <w:sz w:val="24"/>
                <w:szCs w:val="24"/>
                <w:lang w:eastAsia="zh-TW"/>
              </w:rPr>
              <w:t>32.5</w:t>
            </w:r>
            <w:r w:rsidRPr="00C7464C">
              <w:rPr>
                <w:rFonts w:ascii="Times New Roman" w:eastAsia="標楷體" w:hAnsi="Times New Roman" w:cs="Times New Roman"/>
                <w:sz w:val="24"/>
                <w:szCs w:val="24"/>
                <w:lang w:eastAsia="zh-TW"/>
              </w:rPr>
              <w:t>公尺</w:t>
            </w:r>
            <w:r w:rsidRPr="00C7464C">
              <w:rPr>
                <w:rFonts w:ascii="Times New Roman" w:eastAsia="標楷體" w:hAnsi="Times New Roman" w:cs="Times New Roman"/>
                <w:sz w:val="24"/>
                <w:szCs w:val="24"/>
                <w:lang w:eastAsia="zh-TW"/>
              </w:rPr>
              <w:t>/</w:t>
            </w:r>
            <w:r w:rsidRPr="00C7464C">
              <w:rPr>
                <w:rFonts w:ascii="Times New Roman" w:eastAsia="標楷體" w:hAnsi="Times New Roman" w:cs="Times New Roman"/>
                <w:sz w:val="24"/>
                <w:szCs w:val="24"/>
                <w:lang w:eastAsia="zh-TW"/>
              </w:rPr>
              <w:t>秒之平均風速作為基本設計風速，另若高於</w:t>
            </w:r>
            <w:r w:rsidRPr="00C7464C">
              <w:rPr>
                <w:rFonts w:ascii="Times New Roman" w:eastAsia="標楷體" w:hAnsi="Times New Roman" w:cs="Times New Roman"/>
                <w:sz w:val="24"/>
                <w:szCs w:val="24"/>
                <w:lang w:eastAsia="zh-TW"/>
              </w:rPr>
              <w:t>32.5</w:t>
            </w:r>
            <w:r w:rsidRPr="00C7464C">
              <w:rPr>
                <w:rFonts w:ascii="Times New Roman" w:eastAsia="標楷體" w:hAnsi="Times New Roman" w:cs="Times New Roman"/>
                <w:sz w:val="24"/>
                <w:szCs w:val="24"/>
                <w:lang w:eastAsia="zh-TW"/>
              </w:rPr>
              <w:t>公尺</w:t>
            </w:r>
            <w:r w:rsidRPr="00C7464C">
              <w:rPr>
                <w:rFonts w:ascii="Times New Roman" w:eastAsia="標楷體" w:hAnsi="Times New Roman" w:cs="Times New Roman"/>
                <w:sz w:val="24"/>
                <w:szCs w:val="24"/>
                <w:lang w:eastAsia="zh-TW"/>
              </w:rPr>
              <w:t>/</w:t>
            </w:r>
            <w:r w:rsidRPr="00C7464C">
              <w:rPr>
                <w:rFonts w:ascii="Times New Roman" w:eastAsia="標楷體" w:hAnsi="Times New Roman" w:cs="Times New Roman"/>
                <w:sz w:val="24"/>
                <w:szCs w:val="24"/>
                <w:lang w:eastAsia="zh-TW"/>
              </w:rPr>
              <w:t>秒地區者，須採用各地區之平均風速作為基本設計風速，並考量陣風反應因子（</w:t>
            </w:r>
            <w:r w:rsidRPr="00C7464C">
              <w:rPr>
                <w:rFonts w:ascii="Times New Roman" w:eastAsia="標楷體" w:hAnsi="Times New Roman" w:cs="Times New Roman"/>
                <w:sz w:val="24"/>
                <w:szCs w:val="24"/>
                <w:lang w:eastAsia="zh-TW"/>
              </w:rPr>
              <w:t>G</w:t>
            </w:r>
            <w:r w:rsidRPr="00C7464C">
              <w:rPr>
                <w:rFonts w:ascii="Times New Roman" w:eastAsia="標楷體" w:hAnsi="Times New Roman" w:cs="Times New Roman"/>
                <w:sz w:val="24"/>
                <w:szCs w:val="24"/>
                <w:lang w:eastAsia="zh-TW"/>
              </w:rPr>
              <w:t>），由專業技師分別提供結構計算書與各式連結</w:t>
            </w:r>
            <w:r w:rsidRPr="00C7464C">
              <w:rPr>
                <w:rFonts w:ascii="Times New Roman" w:eastAsia="標楷體" w:hAnsi="Times New Roman" w:cs="Times New Roman"/>
                <w:sz w:val="24"/>
                <w:szCs w:val="24"/>
                <w:lang w:eastAsia="zh-TW"/>
              </w:rPr>
              <w:t>(Connection)</w:t>
            </w:r>
            <w:r w:rsidRPr="00C7464C">
              <w:rPr>
                <w:rFonts w:ascii="Times New Roman" w:eastAsia="標楷體" w:hAnsi="Times New Roman" w:cs="Times New Roman"/>
                <w:sz w:val="24"/>
                <w:szCs w:val="24"/>
                <w:lang w:eastAsia="zh-TW"/>
              </w:rPr>
              <w:t>安全檢核文件。</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pStyle w:val="TableParagraph"/>
              <w:snapToGrid w:val="0"/>
              <w:spacing w:line="360" w:lineRule="exact"/>
              <w:ind w:right="96"/>
              <w:jc w:val="both"/>
              <w:rPr>
                <w:rFonts w:ascii="Times New Roman" w:eastAsia="標楷體" w:hAnsi="Times New Roman" w:cs="Times New Roman"/>
                <w:sz w:val="24"/>
                <w:szCs w:val="24"/>
                <w:lang w:eastAsia="zh-TW"/>
              </w:rPr>
            </w:pPr>
            <w:r w:rsidRPr="00C7464C">
              <w:rPr>
                <w:rFonts w:ascii="Times New Roman" w:eastAsia="標楷體" w:hAnsi="Times New Roman" w:cs="Times New Roman"/>
                <w:color w:val="000000" w:themeColor="text1"/>
                <w:sz w:val="24"/>
                <w:szCs w:val="24"/>
              </w:rPr>
              <w:t>否</w:t>
            </w:r>
            <w:r w:rsidRPr="00C7464C">
              <w:rPr>
                <w:rFonts w:ascii="Times New Roman" w:eastAsia="標楷體" w:hAnsi="Times New Roman" w:cs="Times New Roman"/>
                <w:color w:val="000000" w:themeColor="text1"/>
                <w:sz w:val="24"/>
                <w:szCs w:val="24"/>
              </w:rPr>
              <w:t>□</w:t>
            </w:r>
          </w:p>
        </w:tc>
        <w:tc>
          <w:tcPr>
            <w:tcW w:w="352" w:type="pct"/>
          </w:tcPr>
          <w:p w:rsidR="00CF01E5" w:rsidRPr="00C7464C" w:rsidRDefault="00CF01E5" w:rsidP="00D44799">
            <w:pPr>
              <w:pStyle w:val="TableParagraph"/>
              <w:snapToGrid w:val="0"/>
              <w:spacing w:line="360" w:lineRule="exact"/>
              <w:ind w:right="96"/>
              <w:jc w:val="both"/>
              <w:rPr>
                <w:rFonts w:ascii="Times New Roman" w:eastAsia="標楷體" w:hAnsi="Times New Roman" w:cs="Times New Roman"/>
                <w:sz w:val="24"/>
                <w:szCs w:val="24"/>
                <w:lang w:eastAsia="zh-TW"/>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12</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結構設計是否依建築物耐風設計規範進行設計與檢核，其中用途係數（</w:t>
            </w:r>
            <w:r w:rsidRPr="00C7464C">
              <w:rPr>
                <w:rFonts w:eastAsia="標楷體"/>
              </w:rPr>
              <w:t>I</w:t>
            </w:r>
            <w:r w:rsidRPr="00C7464C">
              <w:rPr>
                <w:rFonts w:eastAsia="標楷體"/>
              </w:rPr>
              <w:t>），採</w:t>
            </w:r>
            <w:r w:rsidRPr="00C7464C">
              <w:rPr>
                <w:rFonts w:eastAsia="標楷體"/>
              </w:rPr>
              <w:t xml:space="preserve"> I=1.1</w:t>
            </w:r>
            <w:r w:rsidRPr="00C7464C">
              <w:rPr>
                <w:rFonts w:eastAsia="標楷體"/>
              </w:rPr>
              <w:t>（含）以上、陣風反應因子（</w:t>
            </w:r>
            <w:r w:rsidRPr="00C7464C">
              <w:rPr>
                <w:rFonts w:eastAsia="標楷體"/>
              </w:rPr>
              <w:t>G</w:t>
            </w:r>
            <w:r w:rsidRPr="00C7464C">
              <w:rPr>
                <w:rFonts w:eastAsia="標楷體"/>
              </w:rPr>
              <w:t>），採</w:t>
            </w:r>
            <w:r w:rsidRPr="00C7464C">
              <w:rPr>
                <w:rFonts w:eastAsia="標楷體"/>
              </w:rPr>
              <w:t>G=1.88</w:t>
            </w:r>
            <w:r w:rsidRPr="00C7464C">
              <w:rPr>
                <w:rFonts w:eastAsia="標楷體"/>
              </w:rPr>
              <w:t>（含）以上作，為設計與計算基礎</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13</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結構設計應符合「建築物耐震設計規範及解說」之規定，其中用途係數（</w:t>
            </w:r>
            <w:r w:rsidRPr="00C7464C">
              <w:rPr>
                <w:rFonts w:eastAsia="標楷體"/>
              </w:rPr>
              <w:t>I</w:t>
            </w:r>
            <w:r w:rsidRPr="00C7464C">
              <w:rPr>
                <w:rFonts w:eastAsia="標楷體"/>
              </w:rPr>
              <w:t>），採</w:t>
            </w:r>
            <w:r w:rsidRPr="00C7464C">
              <w:rPr>
                <w:rFonts w:eastAsia="標楷體"/>
              </w:rPr>
              <w:t>I=1.25</w:t>
            </w:r>
            <w:r w:rsidRPr="00C7464C">
              <w:rPr>
                <w:rFonts w:eastAsia="標楷體"/>
              </w:rPr>
              <w:t>（含）以上作為設計與計算基礎</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14</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螺絲組（包含螺絲、螺帽、平華司與彈簧華司等）是否為同一材質，可為熱浸鍍鋅或電鍍鋅材質或不銹鋼材質等抗腐蝕材質，並取得抗腐蝕品質測試報告</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15</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每一構件連結螺絲組是否包含抗腐蝕螺絲、至少</w:t>
            </w:r>
            <w:r w:rsidRPr="00C7464C">
              <w:rPr>
                <w:rFonts w:eastAsia="標楷體"/>
              </w:rPr>
              <w:t xml:space="preserve"> 1 </w:t>
            </w:r>
            <w:r w:rsidRPr="00C7464C">
              <w:rPr>
                <w:rFonts w:eastAsia="標楷體"/>
              </w:rPr>
              <w:t>片彈簧華司、至少</w:t>
            </w:r>
            <w:r w:rsidRPr="00C7464C">
              <w:rPr>
                <w:rFonts w:eastAsia="標楷體"/>
              </w:rPr>
              <w:t xml:space="preserve"> 2 </w:t>
            </w:r>
            <w:r w:rsidRPr="00C7464C">
              <w:rPr>
                <w:rFonts w:eastAsia="標楷體"/>
              </w:rPr>
              <w:t>片平板華司、至少</w:t>
            </w:r>
            <w:r w:rsidRPr="00C7464C">
              <w:rPr>
                <w:rFonts w:eastAsia="標楷體"/>
              </w:rPr>
              <w:t xml:space="preserve"> 1 </w:t>
            </w:r>
            <w:r w:rsidRPr="00C7464C">
              <w:rPr>
                <w:rFonts w:eastAsia="標楷體"/>
              </w:rPr>
              <w:t>個抗腐蝕六角螺帽以及於六角螺帽上再套上</w:t>
            </w:r>
            <w:r w:rsidRPr="00C7464C">
              <w:rPr>
                <w:rFonts w:eastAsia="標楷體"/>
              </w:rPr>
              <w:t xml:space="preserve"> 1 </w:t>
            </w:r>
            <w:r w:rsidRPr="00C7464C">
              <w:rPr>
                <w:rFonts w:eastAsia="標楷體"/>
              </w:rPr>
              <w:t>個抗腐蝕六角蓋型螺帽</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val="restart"/>
            <w:vAlign w:val="center"/>
          </w:tcPr>
          <w:p w:rsidR="00CF01E5" w:rsidRPr="00C7464C" w:rsidRDefault="00CF01E5" w:rsidP="00D44799">
            <w:pPr>
              <w:spacing w:line="360" w:lineRule="exact"/>
              <w:jc w:val="center"/>
              <w:rPr>
                <w:rFonts w:eastAsia="標楷體"/>
              </w:rPr>
            </w:pPr>
            <w:r w:rsidRPr="00C7464C">
              <w:rPr>
                <w:rFonts w:eastAsia="標楷體"/>
              </w:rPr>
              <w:t>支撐</w:t>
            </w:r>
            <w:r w:rsidRPr="00C7464C">
              <w:rPr>
                <w:rFonts w:eastAsia="標楷體"/>
              </w:rPr>
              <w:lastRenderedPageBreak/>
              <w:t>架金屬基材耐腐蝕性能</w:t>
            </w: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lastRenderedPageBreak/>
              <w:t>16</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支撐架材質的選擇，下列兩項選擇：</w:t>
            </w:r>
          </w:p>
          <w:p w:rsidR="00CF01E5" w:rsidRDefault="00CF01E5" w:rsidP="00CF01E5">
            <w:pPr>
              <w:pStyle w:val="a3"/>
              <w:numPr>
                <w:ilvl w:val="0"/>
                <w:numId w:val="8"/>
              </w:numPr>
              <w:spacing w:line="360" w:lineRule="exact"/>
              <w:ind w:leftChars="0"/>
              <w:jc w:val="both"/>
              <w:rPr>
                <w:rFonts w:ascii="Times New Roman" w:eastAsia="標楷體" w:hAnsi="Times New Roman" w:cs="Times New Roman"/>
                <w:sz w:val="24"/>
                <w:szCs w:val="24"/>
              </w:rPr>
            </w:pPr>
            <w:r w:rsidRPr="00B42FE8">
              <w:rPr>
                <w:rFonts w:ascii="Times New Roman" w:eastAsia="標楷體" w:hAnsi="Times New Roman" w:cs="Times New Roman"/>
                <w:sz w:val="24"/>
                <w:szCs w:val="24"/>
              </w:rPr>
              <w:lastRenderedPageBreak/>
              <w:t>若採用鋼構基材，應為一般結構用鋼材（如</w:t>
            </w:r>
            <w:r w:rsidRPr="00B42FE8">
              <w:rPr>
                <w:rFonts w:ascii="Times New Roman" w:eastAsia="標楷體" w:hAnsi="Times New Roman" w:cs="Times New Roman"/>
                <w:sz w:val="24"/>
                <w:szCs w:val="24"/>
              </w:rPr>
              <w:t xml:space="preserve"> ASTM A709</w:t>
            </w:r>
            <w:r w:rsidRPr="00B42FE8">
              <w:rPr>
                <w:rFonts w:ascii="Times New Roman" w:eastAsia="標楷體" w:hAnsi="Times New Roman" w:cs="Times New Roman"/>
                <w:sz w:val="24"/>
                <w:szCs w:val="24"/>
              </w:rPr>
              <w:t>、</w:t>
            </w:r>
            <w:r w:rsidRPr="00B42FE8">
              <w:rPr>
                <w:rFonts w:ascii="Times New Roman" w:eastAsia="標楷體" w:hAnsi="Times New Roman" w:cs="Times New Roman"/>
                <w:sz w:val="24"/>
                <w:szCs w:val="24"/>
              </w:rPr>
              <w:t>ASTM A36</w:t>
            </w:r>
            <w:r w:rsidRPr="00B42FE8">
              <w:rPr>
                <w:rFonts w:ascii="Times New Roman" w:eastAsia="標楷體" w:hAnsi="Times New Roman" w:cs="Times New Roman"/>
                <w:sz w:val="24"/>
                <w:szCs w:val="24"/>
              </w:rPr>
              <w:t>、</w:t>
            </w:r>
            <w:r w:rsidRPr="00B42FE8">
              <w:rPr>
                <w:rFonts w:ascii="Times New Roman" w:eastAsia="標楷體" w:hAnsi="Times New Roman" w:cs="Times New Roman"/>
                <w:sz w:val="24"/>
                <w:szCs w:val="24"/>
              </w:rPr>
              <w:t xml:space="preserve">A572 </w:t>
            </w:r>
            <w:r w:rsidRPr="00B42FE8">
              <w:rPr>
                <w:rFonts w:ascii="Times New Roman" w:eastAsia="標楷體" w:hAnsi="Times New Roman" w:cs="Times New Roman"/>
                <w:sz w:val="24"/>
                <w:szCs w:val="24"/>
              </w:rPr>
              <w:t>等）或冷軋鋼構材外加表面防蝕處理，或耐候鋼材（如</w:t>
            </w:r>
            <w:r w:rsidRPr="00B42FE8">
              <w:rPr>
                <w:rFonts w:ascii="Times New Roman" w:eastAsia="標楷體" w:hAnsi="Times New Roman" w:cs="Times New Roman"/>
                <w:sz w:val="24"/>
                <w:szCs w:val="24"/>
              </w:rPr>
              <w:t xml:space="preserve"> ASTM A588</w:t>
            </w:r>
            <w:r w:rsidRPr="00B42FE8">
              <w:rPr>
                <w:rFonts w:ascii="Times New Roman" w:eastAsia="標楷體" w:hAnsi="Times New Roman" w:cs="Times New Roman"/>
                <w:sz w:val="24"/>
                <w:szCs w:val="24"/>
              </w:rPr>
              <w:t>，</w:t>
            </w:r>
            <w:r w:rsidRPr="00B42FE8">
              <w:rPr>
                <w:rFonts w:ascii="Times New Roman" w:eastAsia="標楷體" w:hAnsi="Times New Roman" w:cs="Times New Roman"/>
                <w:sz w:val="24"/>
                <w:szCs w:val="24"/>
              </w:rPr>
              <w:t>CNS 4620</w:t>
            </w:r>
            <w:r w:rsidRPr="00B42FE8">
              <w:rPr>
                <w:rFonts w:ascii="Times New Roman" w:eastAsia="標楷體" w:hAnsi="Times New Roman" w:cs="Times New Roman"/>
                <w:sz w:val="24"/>
                <w:szCs w:val="24"/>
              </w:rPr>
              <w:t>，</w:t>
            </w:r>
            <w:r w:rsidRPr="00B42FE8">
              <w:rPr>
                <w:rFonts w:ascii="Times New Roman" w:eastAsia="標楷體" w:hAnsi="Times New Roman" w:cs="Times New Roman"/>
                <w:sz w:val="24"/>
                <w:szCs w:val="24"/>
              </w:rPr>
              <w:t>JIS G3114</w:t>
            </w:r>
            <w:r w:rsidRPr="00B42FE8">
              <w:rPr>
                <w:rFonts w:ascii="Times New Roman" w:eastAsia="標楷體" w:hAnsi="Times New Roman" w:cs="Times New Roman"/>
                <w:sz w:val="24"/>
                <w:szCs w:val="24"/>
              </w:rPr>
              <w:t>等）</w:t>
            </w:r>
          </w:p>
          <w:p w:rsidR="00CF01E5" w:rsidRPr="00B42FE8" w:rsidRDefault="00CF01E5" w:rsidP="00CF01E5">
            <w:pPr>
              <w:pStyle w:val="a3"/>
              <w:numPr>
                <w:ilvl w:val="0"/>
                <w:numId w:val="8"/>
              </w:numPr>
              <w:spacing w:line="360" w:lineRule="exact"/>
              <w:ind w:leftChars="0"/>
              <w:jc w:val="both"/>
              <w:rPr>
                <w:rFonts w:ascii="Times New Roman" w:eastAsia="標楷體" w:hAnsi="Times New Roman" w:cs="Times New Roman"/>
                <w:sz w:val="24"/>
                <w:szCs w:val="24"/>
              </w:rPr>
            </w:pPr>
            <w:r w:rsidRPr="00B42FE8">
              <w:rPr>
                <w:rFonts w:ascii="Times New Roman" w:eastAsia="標楷體" w:hAnsi="Times New Roman" w:cs="Times New Roman"/>
                <w:sz w:val="24"/>
                <w:szCs w:val="24"/>
              </w:rPr>
              <w:t>若採用鋁合金鋁擠型基材，其鋁合金材質應為</w:t>
            </w:r>
            <w:r w:rsidRPr="00B42FE8">
              <w:rPr>
                <w:rFonts w:ascii="Times New Roman" w:eastAsia="標楷體" w:hAnsi="Times New Roman" w:cs="Times New Roman"/>
                <w:sz w:val="24"/>
                <w:szCs w:val="24"/>
              </w:rPr>
              <w:t xml:space="preserve"> 6005T5 </w:t>
            </w:r>
            <w:r w:rsidRPr="00B42FE8">
              <w:rPr>
                <w:rFonts w:ascii="Times New Roman" w:eastAsia="標楷體" w:hAnsi="Times New Roman" w:cs="Times New Roman"/>
                <w:sz w:val="24"/>
                <w:szCs w:val="24"/>
              </w:rPr>
              <w:t>或</w:t>
            </w:r>
            <w:r w:rsidRPr="00B42FE8">
              <w:rPr>
                <w:rFonts w:ascii="Times New Roman" w:eastAsia="標楷體" w:hAnsi="Times New Roman" w:cs="Times New Roman"/>
                <w:sz w:val="24"/>
                <w:szCs w:val="24"/>
              </w:rPr>
              <w:t xml:space="preserve"> 6061T5 </w:t>
            </w:r>
            <w:r w:rsidRPr="00B42FE8">
              <w:rPr>
                <w:rFonts w:ascii="Times New Roman" w:eastAsia="標楷體" w:hAnsi="Times New Roman" w:cs="Times New Roman"/>
                <w:sz w:val="24"/>
                <w:szCs w:val="24"/>
              </w:rPr>
              <w:t>以上等級，並須符合結構安全要求</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lastRenderedPageBreak/>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r w:rsidR="00CF01E5" w:rsidRPr="00C7464C" w:rsidTr="00D44799">
        <w:trPr>
          <w:trHeight w:val="454"/>
        </w:trPr>
        <w:tc>
          <w:tcPr>
            <w:tcW w:w="228" w:type="pct"/>
            <w:vMerge/>
          </w:tcPr>
          <w:p w:rsidR="00CF01E5" w:rsidRPr="00C7464C" w:rsidRDefault="00CF01E5" w:rsidP="00D44799">
            <w:pPr>
              <w:spacing w:line="360" w:lineRule="exact"/>
              <w:rPr>
                <w:rFonts w:eastAsia="標楷體"/>
              </w:rPr>
            </w:pPr>
          </w:p>
        </w:tc>
        <w:tc>
          <w:tcPr>
            <w:tcW w:w="227" w:type="pct"/>
            <w:vAlign w:val="center"/>
          </w:tcPr>
          <w:p w:rsidR="00CF01E5" w:rsidRPr="00C7464C" w:rsidRDefault="00CF01E5" w:rsidP="00D44799">
            <w:pPr>
              <w:spacing w:line="360" w:lineRule="exact"/>
              <w:jc w:val="center"/>
              <w:rPr>
                <w:rFonts w:eastAsia="標楷體"/>
              </w:rPr>
            </w:pPr>
            <w:r w:rsidRPr="00C7464C">
              <w:rPr>
                <w:rFonts w:eastAsia="標楷體"/>
              </w:rPr>
              <w:t>17</w:t>
            </w:r>
          </w:p>
        </w:tc>
        <w:tc>
          <w:tcPr>
            <w:tcW w:w="3770" w:type="pct"/>
            <w:vAlign w:val="center"/>
          </w:tcPr>
          <w:p w:rsidR="00CF01E5" w:rsidRPr="00C7464C" w:rsidRDefault="00CF01E5" w:rsidP="00D44799">
            <w:pPr>
              <w:spacing w:line="360" w:lineRule="exact"/>
              <w:jc w:val="both"/>
              <w:rPr>
                <w:rFonts w:eastAsia="標楷體"/>
              </w:rPr>
            </w:pPr>
            <w:r w:rsidRPr="00C7464C">
              <w:rPr>
                <w:rFonts w:eastAsia="標楷體"/>
              </w:rPr>
              <w:t>支撐架表面處理的選擇，下列兩項處理方式：</w:t>
            </w:r>
          </w:p>
          <w:p w:rsidR="00CF01E5" w:rsidRDefault="00CF01E5" w:rsidP="00CF01E5">
            <w:pPr>
              <w:pStyle w:val="a3"/>
              <w:numPr>
                <w:ilvl w:val="0"/>
                <w:numId w:val="9"/>
              </w:numPr>
              <w:spacing w:line="360" w:lineRule="exact"/>
              <w:ind w:leftChars="0"/>
              <w:jc w:val="both"/>
              <w:rPr>
                <w:rFonts w:ascii="Times New Roman" w:eastAsia="標楷體" w:hAnsi="Times New Roman" w:cs="Times New Roman"/>
                <w:sz w:val="24"/>
                <w:szCs w:val="24"/>
              </w:rPr>
            </w:pPr>
            <w:r w:rsidRPr="00B42FE8">
              <w:rPr>
                <w:rFonts w:ascii="Times New Roman" w:eastAsia="標楷體" w:hAnsi="Times New Roman" w:cs="Times New Roman"/>
                <w:sz w:val="24"/>
                <w:szCs w:val="24"/>
                <w:u w:val="single"/>
              </w:rPr>
              <w:t>鋼構</w:t>
            </w:r>
            <w:r w:rsidRPr="00B42FE8">
              <w:rPr>
                <w:rFonts w:ascii="Times New Roman" w:eastAsia="標楷體" w:hAnsi="Times New Roman" w:cs="Times New Roman"/>
                <w:sz w:val="24"/>
                <w:szCs w:val="24"/>
              </w:rPr>
              <w:t>基材表面處理，須以設置地點符合</w:t>
            </w:r>
            <w:r w:rsidRPr="00B42FE8">
              <w:rPr>
                <w:rFonts w:ascii="Times New Roman" w:eastAsia="標楷體" w:hAnsi="Times New Roman" w:cs="Times New Roman"/>
                <w:sz w:val="24"/>
                <w:szCs w:val="24"/>
              </w:rPr>
              <w:t xml:space="preserve"> ISO  9223 </w:t>
            </w:r>
            <w:r w:rsidRPr="00B42FE8">
              <w:rPr>
                <w:rFonts w:ascii="Times New Roman" w:eastAsia="標楷體" w:hAnsi="Times New Roman" w:cs="Times New Roman"/>
                <w:sz w:val="24"/>
                <w:szCs w:val="24"/>
              </w:rPr>
              <w:t>之腐蝕環境分類等級，且至少以中度腐蝕（</w:t>
            </w:r>
            <w:r w:rsidRPr="00B42FE8">
              <w:rPr>
                <w:rFonts w:ascii="Times New Roman" w:eastAsia="標楷體" w:hAnsi="Times New Roman" w:cs="Times New Roman"/>
                <w:sz w:val="24"/>
                <w:szCs w:val="24"/>
              </w:rPr>
              <w:t>ISO  9223-C3)</w:t>
            </w:r>
            <w:r w:rsidRPr="00B42FE8">
              <w:rPr>
                <w:rFonts w:ascii="Times New Roman" w:eastAsia="標楷體" w:hAnsi="Times New Roman" w:cs="Times New Roman"/>
                <w:sz w:val="24"/>
                <w:szCs w:val="24"/>
              </w:rPr>
              <w:t>等級以上為處理基準，並以</w:t>
            </w:r>
            <w:r w:rsidRPr="00B42FE8">
              <w:rPr>
                <w:rFonts w:ascii="Times New Roman" w:eastAsia="標楷體" w:hAnsi="Times New Roman" w:cs="Times New Roman"/>
                <w:sz w:val="24"/>
                <w:szCs w:val="24"/>
              </w:rPr>
              <w:t xml:space="preserve"> 20 </w:t>
            </w:r>
            <w:r w:rsidRPr="00B42FE8">
              <w:rPr>
                <w:rFonts w:ascii="Times New Roman" w:eastAsia="標楷體" w:hAnsi="Times New Roman" w:cs="Times New Roman"/>
                <w:sz w:val="24"/>
                <w:szCs w:val="24"/>
              </w:rPr>
              <w:t>年（含）以上抗腐蝕性能進行表面處理，並由專業機構提出施作說明與品質保證證明</w:t>
            </w:r>
          </w:p>
          <w:p w:rsidR="00CF01E5" w:rsidRPr="00B42FE8" w:rsidRDefault="00CF01E5" w:rsidP="00CF01E5">
            <w:pPr>
              <w:pStyle w:val="a3"/>
              <w:numPr>
                <w:ilvl w:val="0"/>
                <w:numId w:val="9"/>
              </w:numPr>
              <w:spacing w:line="360" w:lineRule="exact"/>
              <w:ind w:leftChars="0"/>
              <w:jc w:val="both"/>
              <w:rPr>
                <w:rFonts w:ascii="Times New Roman" w:eastAsia="標楷體" w:hAnsi="Times New Roman" w:cs="Times New Roman"/>
                <w:sz w:val="24"/>
                <w:szCs w:val="24"/>
              </w:rPr>
            </w:pPr>
            <w:r w:rsidRPr="00B42FE8">
              <w:rPr>
                <w:rFonts w:ascii="Times New Roman" w:eastAsia="標楷體" w:hAnsi="Times New Roman" w:cs="Times New Roman"/>
                <w:sz w:val="24"/>
                <w:szCs w:val="24"/>
              </w:rPr>
              <w:t>鋁合</w:t>
            </w:r>
            <w:r w:rsidRPr="00B42FE8">
              <w:rPr>
                <w:rFonts w:ascii="Times New Roman" w:eastAsia="標楷體" w:hAnsi="Times New Roman" w:cs="Times New Roman"/>
                <w:sz w:val="24"/>
                <w:szCs w:val="24"/>
                <w:u w:val="single"/>
              </w:rPr>
              <w:t>金鋁擠型</w:t>
            </w:r>
            <w:r w:rsidRPr="00B42FE8">
              <w:rPr>
                <w:rFonts w:ascii="Times New Roman" w:eastAsia="標楷體" w:hAnsi="Times New Roman" w:cs="Times New Roman"/>
                <w:sz w:val="24"/>
                <w:szCs w:val="24"/>
              </w:rPr>
              <w:t>基材表面處理，其表面處理方式採陽極處理厚度</w:t>
            </w:r>
            <w:r w:rsidRPr="00B42FE8">
              <w:rPr>
                <w:rFonts w:ascii="Times New Roman" w:eastAsia="標楷體" w:hAnsi="Times New Roman" w:cs="Times New Roman"/>
                <w:sz w:val="24"/>
                <w:szCs w:val="24"/>
              </w:rPr>
              <w:t xml:space="preserve"> 14µm </w:t>
            </w:r>
            <w:r w:rsidRPr="00B42FE8">
              <w:rPr>
                <w:rFonts w:ascii="Times New Roman" w:eastAsia="標楷體" w:hAnsi="Times New Roman" w:cs="Times New Roman"/>
                <w:sz w:val="24"/>
                <w:szCs w:val="24"/>
              </w:rPr>
              <w:t>以上及外加一層膜厚</w:t>
            </w:r>
            <w:r w:rsidRPr="00B42FE8">
              <w:rPr>
                <w:rFonts w:ascii="Times New Roman" w:eastAsia="標楷體" w:hAnsi="Times New Roman" w:cs="Times New Roman"/>
                <w:sz w:val="24"/>
                <w:szCs w:val="24"/>
              </w:rPr>
              <w:t xml:space="preserve"> 7µm </w:t>
            </w:r>
            <w:r w:rsidRPr="00B42FE8">
              <w:rPr>
                <w:rFonts w:ascii="Times New Roman" w:eastAsia="標楷體" w:hAnsi="Times New Roman" w:cs="Times New Roman"/>
                <w:sz w:val="24"/>
                <w:szCs w:val="24"/>
              </w:rPr>
              <w:t>以上之壓克力透明漆之表面防蝕處理，除鋁擠型構材外的鋁合金板、小配件等之表面處理方式可為陽極處理厚度</w:t>
            </w:r>
            <w:r w:rsidRPr="00B42FE8">
              <w:rPr>
                <w:rFonts w:ascii="Times New Roman" w:eastAsia="標楷體" w:hAnsi="Times New Roman" w:cs="Times New Roman"/>
                <w:sz w:val="24"/>
                <w:szCs w:val="24"/>
              </w:rPr>
              <w:t xml:space="preserve"> 7µm </w:t>
            </w:r>
            <w:r w:rsidRPr="00B42FE8">
              <w:rPr>
                <w:rFonts w:ascii="Times New Roman" w:eastAsia="標楷體" w:hAnsi="Times New Roman" w:cs="Times New Roman"/>
                <w:sz w:val="24"/>
                <w:szCs w:val="24"/>
              </w:rPr>
              <w:t>以上及外加一層膜厚</w:t>
            </w:r>
            <w:r w:rsidRPr="00B42FE8">
              <w:rPr>
                <w:rFonts w:ascii="Times New Roman" w:eastAsia="標楷體" w:hAnsi="Times New Roman" w:cs="Times New Roman"/>
                <w:sz w:val="24"/>
                <w:szCs w:val="24"/>
              </w:rPr>
              <w:t xml:space="preserve"> 7µm </w:t>
            </w:r>
            <w:r w:rsidRPr="00B42FE8">
              <w:rPr>
                <w:rFonts w:ascii="Times New Roman" w:eastAsia="標楷體" w:hAnsi="Times New Roman" w:cs="Times New Roman"/>
                <w:sz w:val="24"/>
                <w:szCs w:val="24"/>
              </w:rPr>
              <w:t>以上之壓克力透明漆，且皆需取得具有</w:t>
            </w:r>
            <w:r w:rsidRPr="00B42FE8">
              <w:rPr>
                <w:rFonts w:ascii="Times New Roman" w:eastAsia="標楷體" w:hAnsi="Times New Roman" w:cs="Times New Roman"/>
                <w:sz w:val="24"/>
                <w:szCs w:val="24"/>
              </w:rPr>
              <w:t xml:space="preserve"> TAF </w:t>
            </w:r>
            <w:r w:rsidRPr="00B42FE8">
              <w:rPr>
                <w:rFonts w:ascii="Times New Roman" w:eastAsia="標楷體" w:hAnsi="Times New Roman" w:cs="Times New Roman"/>
                <w:sz w:val="24"/>
                <w:szCs w:val="24"/>
              </w:rPr>
              <w:t>認可之測試實驗室測試合格報告</w:t>
            </w:r>
          </w:p>
        </w:tc>
        <w:tc>
          <w:tcPr>
            <w:tcW w:w="422" w:type="pct"/>
          </w:tcPr>
          <w:p w:rsidR="00CF01E5" w:rsidRPr="00C7464C" w:rsidRDefault="00CF01E5" w:rsidP="00D44799">
            <w:pPr>
              <w:spacing w:line="360" w:lineRule="exact"/>
              <w:rPr>
                <w:rFonts w:eastAsia="標楷體"/>
                <w:color w:val="000000" w:themeColor="text1"/>
              </w:rPr>
            </w:pPr>
            <w:r w:rsidRPr="00C7464C">
              <w:rPr>
                <w:rFonts w:eastAsia="標楷體"/>
                <w:color w:val="000000" w:themeColor="text1"/>
              </w:rPr>
              <w:t>是</w:t>
            </w:r>
            <w:r w:rsidRPr="00C7464C">
              <w:rPr>
                <w:rFonts w:eastAsia="標楷體"/>
                <w:color w:val="000000" w:themeColor="text1"/>
              </w:rPr>
              <w:t>□</w:t>
            </w:r>
          </w:p>
          <w:p w:rsidR="00CF01E5" w:rsidRPr="00C7464C" w:rsidRDefault="00CF01E5" w:rsidP="00D44799">
            <w:pPr>
              <w:spacing w:line="360" w:lineRule="exact"/>
              <w:jc w:val="both"/>
              <w:rPr>
                <w:rFonts w:eastAsia="標楷體"/>
              </w:rPr>
            </w:pPr>
            <w:r w:rsidRPr="00C7464C">
              <w:rPr>
                <w:rFonts w:eastAsia="標楷體"/>
                <w:color w:val="000000" w:themeColor="text1"/>
              </w:rPr>
              <w:t>否</w:t>
            </w:r>
            <w:r w:rsidRPr="00C7464C">
              <w:rPr>
                <w:rFonts w:eastAsia="標楷體"/>
                <w:color w:val="000000" w:themeColor="text1"/>
              </w:rPr>
              <w:t>□</w:t>
            </w:r>
          </w:p>
        </w:tc>
        <w:tc>
          <w:tcPr>
            <w:tcW w:w="352" w:type="pct"/>
          </w:tcPr>
          <w:p w:rsidR="00CF01E5" w:rsidRPr="00C7464C" w:rsidRDefault="00CF01E5" w:rsidP="00D44799">
            <w:pPr>
              <w:spacing w:line="360" w:lineRule="exact"/>
              <w:jc w:val="both"/>
              <w:rPr>
                <w:rFonts w:eastAsia="標楷體"/>
              </w:rPr>
            </w:pPr>
          </w:p>
        </w:tc>
      </w:tr>
    </w:tbl>
    <w:p w:rsidR="00CF01E5" w:rsidRPr="00C7464C" w:rsidRDefault="00CF01E5" w:rsidP="00CF01E5">
      <w:pPr>
        <w:jc w:val="center"/>
        <w:rPr>
          <w:rFonts w:eastAsia="標楷體"/>
          <w:b/>
          <w:sz w:val="28"/>
          <w:szCs w:val="28"/>
        </w:rPr>
      </w:pPr>
    </w:p>
    <w:p w:rsidR="00CF01E5" w:rsidRPr="009B71E9" w:rsidRDefault="00CF01E5" w:rsidP="00CF01E5">
      <w:pPr>
        <w:rPr>
          <w:rFonts w:eastAsia="標楷體"/>
          <w:color w:val="000000" w:themeColor="text1"/>
        </w:rPr>
      </w:pPr>
      <w:r w:rsidRPr="00C7464C">
        <w:rPr>
          <w:rFonts w:eastAsia="標楷體"/>
          <w:color w:val="000000" w:themeColor="text1"/>
        </w:rPr>
        <w:t>註：</w:t>
      </w:r>
      <w:r w:rsidRPr="009B71E9">
        <w:rPr>
          <w:rFonts w:eastAsia="標楷體"/>
          <w:color w:val="000000" w:themeColor="text1"/>
        </w:rPr>
        <w:t>(1)</w:t>
      </w:r>
      <w:r w:rsidRPr="00C7464C">
        <w:rPr>
          <w:rFonts w:eastAsia="標楷體"/>
          <w:color w:val="000000" w:themeColor="text1"/>
        </w:rPr>
        <w:t>檢驗結果須全部為是，若有否者，則需由得標廠商盡速修正，以完成檢驗</w:t>
      </w:r>
      <w:r w:rsidRPr="009B71E9">
        <w:rPr>
          <w:rFonts w:eastAsia="標楷體" w:hint="eastAsia"/>
          <w:color w:val="000000" w:themeColor="text1"/>
        </w:rPr>
        <w:t>；</w:t>
      </w:r>
      <w:r w:rsidRPr="009B71E9">
        <w:rPr>
          <w:rFonts w:eastAsia="標楷體" w:hint="eastAsia"/>
          <w:color w:val="000000" w:themeColor="text1"/>
        </w:rPr>
        <w:t>(2)</w:t>
      </w:r>
      <w:r w:rsidRPr="009B71E9">
        <w:rPr>
          <w:rFonts w:eastAsia="標楷體" w:hint="eastAsia"/>
          <w:color w:val="000000" w:themeColor="text1"/>
        </w:rPr>
        <w:t>請加蓋騎縫章。</w:t>
      </w:r>
    </w:p>
    <w:p w:rsidR="00CF01E5" w:rsidRPr="00C7464C" w:rsidRDefault="00CF01E5" w:rsidP="00CF01E5">
      <w:pPr>
        <w:rPr>
          <w:rFonts w:eastAsia="標楷體"/>
          <w:color w:val="000000" w:themeColor="text1"/>
        </w:rPr>
      </w:pPr>
      <w:r w:rsidRPr="009B71E9">
        <w:rPr>
          <w:rFonts w:eastAsia="標楷體" w:hint="eastAsia"/>
          <w:color w:val="000000" w:themeColor="text1"/>
        </w:rPr>
        <w:t>【是否有補充說明】：□無</w:t>
      </w:r>
      <w:r w:rsidRPr="009B71E9">
        <w:rPr>
          <w:rFonts w:eastAsia="標楷體" w:hint="eastAsia"/>
          <w:color w:val="000000" w:themeColor="text1"/>
        </w:rPr>
        <w:t xml:space="preserve">  </w:t>
      </w:r>
      <w:r w:rsidRPr="009B71E9">
        <w:rPr>
          <w:rFonts w:eastAsia="標楷體" w:hint="eastAsia"/>
          <w:color w:val="000000" w:themeColor="text1"/>
        </w:rPr>
        <w:t>□有（如特殊情形、例外狀況等）</w:t>
      </w:r>
      <w:r w:rsidRPr="00C7464C">
        <w:rPr>
          <w:rFonts w:eastAsia="標楷體"/>
          <w:color w:val="000000" w:themeColor="text1"/>
        </w:rPr>
        <w:t>。</w:t>
      </w:r>
    </w:p>
    <w:p w:rsidR="00CF01E5" w:rsidRPr="00B4439F" w:rsidRDefault="00CF01E5" w:rsidP="00CF01E5">
      <w:pPr>
        <w:jc w:val="distribute"/>
        <w:rPr>
          <w:rFonts w:asciiTheme="minorEastAsia" w:hAnsiTheme="minorEastAsia"/>
          <w:sz w:val="36"/>
          <w:szCs w:val="40"/>
        </w:rPr>
      </w:pPr>
    </w:p>
    <w:p w:rsidR="00CF01E5" w:rsidRPr="005A0170" w:rsidRDefault="00CF01E5" w:rsidP="00CF01E5">
      <w:pPr>
        <w:widowControl/>
        <w:rPr>
          <w:rFonts w:asciiTheme="minorEastAsia" w:hAnsiTheme="minorEastAsia"/>
          <w:sz w:val="40"/>
          <w:szCs w:val="40"/>
        </w:rPr>
      </w:pPr>
    </w:p>
    <w:p w:rsidR="00CF01E5" w:rsidRP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p w:rsidR="00CF01E5" w:rsidRDefault="00CF01E5" w:rsidP="00CF01E5">
      <w:pPr>
        <w:snapToGrid w:val="0"/>
        <w:spacing w:line="540" w:lineRule="exact"/>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附件4</w:t>
      </w:r>
    </w:p>
    <w:p w:rsidR="00CF01E5" w:rsidRPr="00AB6DE4" w:rsidRDefault="00CF01E5" w:rsidP="00CF01E5">
      <w:pPr>
        <w:snapToGrid w:val="0"/>
        <w:spacing w:line="540" w:lineRule="exact"/>
        <w:jc w:val="center"/>
        <w:rPr>
          <w:rFonts w:ascii="標楷體" w:eastAsia="標楷體" w:hAnsi="標楷體"/>
          <w:b/>
          <w:bCs/>
          <w:color w:val="000000"/>
          <w:sz w:val="28"/>
          <w:szCs w:val="28"/>
        </w:rPr>
      </w:pPr>
      <w:r w:rsidRPr="00AB6DE4">
        <w:rPr>
          <w:rFonts w:ascii="標楷體" w:eastAsia="標楷體" w:hAnsi="標楷體" w:hint="eastAsia"/>
          <w:b/>
          <w:bCs/>
          <w:color w:val="000000"/>
          <w:sz w:val="28"/>
          <w:szCs w:val="28"/>
        </w:rPr>
        <w:t>施工及維護期間注意及配合事項</w:t>
      </w:r>
    </w:p>
    <w:p w:rsidR="00CF01E5" w:rsidRPr="00AB6DE4" w:rsidRDefault="00CF01E5" w:rsidP="00CF01E5">
      <w:pPr>
        <w:snapToGrid w:val="0"/>
        <w:spacing w:line="540" w:lineRule="exact"/>
        <w:rPr>
          <w:rFonts w:ascii="標楷體" w:eastAsia="標楷體" w:hAnsi="標楷體"/>
          <w:b/>
          <w:bCs/>
          <w:color w:val="000000"/>
          <w:sz w:val="28"/>
          <w:szCs w:val="28"/>
        </w:rPr>
      </w:pP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於進場施工前需提送完整之施工計畫書予</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管理機關同意備查並副知甲方。【需包含現場負責人名字及聯絡方式、施工進度、施工範圍、太陽光電系統（含升壓設備）及管線位置分布】</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交流路徑及外線路徑施工方式確認：依照規劃設計圖說與</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管理機關進行施工前檢討光電設置區域及現場管線路徑位置確認，新設KWH台電電錶箱及台電外線開挖位置確認。</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吊裝時間及注意事項：應與</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管理機關討論進行吊裝作業時間，應做好安全防護圍籬措施，慎防墜落及誤觸高壓電線，並應指派工程人員1至2員進行現場監工及指揮。</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一般日及假日施工時間確認：一般日施工</w:t>
      </w:r>
      <w:r w:rsidRPr="00AB6DE4">
        <w:rPr>
          <w:rFonts w:ascii="標楷體" w:eastAsia="標楷體" w:hAnsi="標楷體" w:hint="eastAsia"/>
          <w:sz w:val="28"/>
          <w:szCs w:val="28"/>
        </w:rPr>
        <w:t>儘量</w:t>
      </w:r>
      <w:r w:rsidRPr="00AB6DE4">
        <w:rPr>
          <w:rFonts w:ascii="標楷體" w:eastAsia="標楷體" w:hAnsi="標楷體" w:hint="eastAsia"/>
          <w:color w:val="000000"/>
          <w:sz w:val="28"/>
          <w:szCs w:val="28"/>
        </w:rPr>
        <w:t>避免鑽孔及吊裝或灌漿作業，可以進行模組組裝作業及電氣設備安裝，假日施工主要進行鑽孔及吊裝或灌漿作業需事先向</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管理機關提出申請。</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臨時水電補貼金額：乙方同意因架設、維護、修復及清潔太陽光電發電系統所需之水電，補貼</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管理機關之臨時水電費用。另前述乙方所需之水電，乙方亦得考慮於設置案場增設獨立電表及水表，以供因應。</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rPr>
          <w:rFonts w:ascii="標楷體" w:eastAsia="標楷體" w:hAnsi="標楷體"/>
          <w:color w:val="000000"/>
          <w:sz w:val="28"/>
          <w:szCs w:val="28"/>
        </w:rPr>
      </w:pPr>
      <w:r w:rsidRPr="00AB6DE4">
        <w:rPr>
          <w:rFonts w:ascii="標楷體" w:eastAsia="標楷體" w:hAnsi="標楷體" w:hint="eastAsia"/>
          <w:color w:val="000000"/>
          <w:sz w:val="28"/>
          <w:szCs w:val="28"/>
        </w:rPr>
        <w:t>盥洗室及垃圾處理規定確認：於當日工程結束後，必須將施工區域環境及使用過之廁所清理乾淨並且將垃圾帶出。</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校園及辦公區域內禁止吸菸、打赤膊及須避免嚼檳榔，嚴禁亂丟菸蒂、亂吐檳榔汁及飲用含酒精類飲料，如經發現，房地管理機關有權要求該工作人員不得再進入施工。</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b/>
          <w:color w:val="000000"/>
          <w:sz w:val="28"/>
          <w:szCs w:val="28"/>
        </w:rPr>
      </w:pPr>
      <w:r w:rsidRPr="00AB6DE4">
        <w:rPr>
          <w:rFonts w:ascii="標楷體" w:eastAsia="標楷體" w:hAnsi="標楷體" w:hint="eastAsia"/>
          <w:color w:val="000000"/>
          <w:sz w:val="28"/>
          <w:szCs w:val="28"/>
        </w:rPr>
        <w:t>工作人員須聽從</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管理機關的指示，非經同意不得入內，如有任何需求應事先洽</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管理機關聯絡窗口協調後依指示辦理。並嚴禁破壞或擅自移除</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管理機關之門禁設施。</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上課或辦公時間應避免使用高噪音的機具或工具，以免影響</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管理機關辦公或上課品質。</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lastRenderedPageBreak/>
        <w:t>施工人員於施工時應做好一切必要的防範措施，以避免有任何物品飛落物砸傷第三人，造成人員傷亡、財物毀損人員及周邊髒亂。</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hint="eastAsia"/>
          <w:color w:val="000000"/>
          <w:sz w:val="28"/>
          <w:szCs w:val="28"/>
        </w:rPr>
        <w:t>工作人員於施工及維護期間中只限定於施工及維護範圍內活動，不得影響學生上課或人員辦公。</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rPr>
          <w:rFonts w:ascii="標楷體" w:eastAsia="標楷體" w:hAnsi="標楷體"/>
          <w:color w:val="000000"/>
          <w:sz w:val="28"/>
          <w:szCs w:val="28"/>
        </w:rPr>
      </w:pPr>
      <w:r w:rsidRPr="00AB6DE4">
        <w:rPr>
          <w:rFonts w:ascii="標楷體" w:eastAsia="標楷體" w:hAnsi="標楷體" w:hint="eastAsia"/>
          <w:color w:val="000000"/>
          <w:sz w:val="28"/>
          <w:szCs w:val="28"/>
        </w:rPr>
        <w:t>太陽光電模組支撐架</w:t>
      </w:r>
      <w:r w:rsidRPr="00AB6DE4">
        <w:rPr>
          <w:rFonts w:ascii="標楷體" w:eastAsia="標楷體" w:hAnsi="標楷體"/>
          <w:color w:val="000000"/>
          <w:sz w:val="28"/>
          <w:szCs w:val="28"/>
        </w:rPr>
        <w:t xml:space="preserve"> (</w:t>
      </w:r>
      <w:r w:rsidRPr="00AB6DE4">
        <w:rPr>
          <w:rFonts w:ascii="標楷體" w:eastAsia="標楷體" w:hAnsi="標楷體" w:hint="eastAsia"/>
          <w:color w:val="000000"/>
          <w:sz w:val="28"/>
          <w:szCs w:val="28"/>
        </w:rPr>
        <w:t>含水泥基（墩）座</w:t>
      </w:r>
      <w:r w:rsidRPr="00AB6DE4">
        <w:rPr>
          <w:rFonts w:ascii="標楷體" w:eastAsia="標楷體" w:hAnsi="標楷體"/>
          <w:color w:val="000000"/>
          <w:sz w:val="28"/>
          <w:szCs w:val="28"/>
        </w:rPr>
        <w:t>)</w:t>
      </w:r>
      <w:r w:rsidRPr="00AB6DE4">
        <w:rPr>
          <w:rFonts w:ascii="標楷體" w:eastAsia="標楷體" w:hAnsi="標楷體" w:hint="eastAsia"/>
          <w:color w:val="000000"/>
          <w:sz w:val="28"/>
          <w:szCs w:val="28"/>
        </w:rPr>
        <w:t>安裝施工注意事項：</w:t>
      </w:r>
    </w:p>
    <w:p w:rsidR="00CF01E5" w:rsidRPr="00AB6DE4" w:rsidRDefault="00CF01E5" w:rsidP="00CF01E5">
      <w:pPr>
        <w:snapToGrid w:val="0"/>
        <w:spacing w:line="560" w:lineRule="exact"/>
        <w:ind w:leftChars="263" w:left="1323" w:hangingChars="247" w:hanging="692"/>
        <w:jc w:val="both"/>
        <w:rPr>
          <w:rFonts w:ascii="標楷體" w:eastAsia="標楷體" w:hAnsi="標楷體"/>
          <w:color w:val="000000"/>
          <w:sz w:val="28"/>
          <w:szCs w:val="28"/>
        </w:rPr>
      </w:pPr>
      <w:r w:rsidRPr="00AB6DE4">
        <w:rPr>
          <w:rFonts w:ascii="標楷體" w:eastAsia="標楷體" w:hAnsi="標楷體" w:hint="eastAsia"/>
          <w:color w:val="000000"/>
          <w:sz w:val="28"/>
          <w:szCs w:val="28"/>
        </w:rPr>
        <w:t>（1）太陽光電模組支撐架與基座安裝時，應避免損壞其他建築或設施，如造成損壞，乙方應負完全修復責任，修復費用由乙方負擔，得自履約保證金扣除，</w:t>
      </w:r>
      <w:r w:rsidRPr="00AB6DE4">
        <w:rPr>
          <w:rFonts w:ascii="標楷體" w:eastAsia="標楷體" w:hAnsi="標楷體" w:cs="新細明體"/>
          <w:color w:val="000000"/>
          <w:w w:val="102"/>
          <w:kern w:val="0"/>
          <w:sz w:val="28"/>
          <w:szCs w:val="28"/>
        </w:rPr>
        <w:t>不足部分再向</w:t>
      </w:r>
      <w:r w:rsidRPr="00AB6DE4">
        <w:rPr>
          <w:rFonts w:ascii="標楷體" w:eastAsia="標楷體" w:hAnsi="標楷體" w:cs="新細明體" w:hint="eastAsia"/>
          <w:color w:val="000000"/>
          <w:w w:val="102"/>
          <w:kern w:val="0"/>
          <w:sz w:val="28"/>
          <w:szCs w:val="28"/>
        </w:rPr>
        <w:t>乙</w:t>
      </w:r>
      <w:r w:rsidRPr="00AB6DE4">
        <w:rPr>
          <w:rFonts w:ascii="標楷體" w:eastAsia="標楷體" w:hAnsi="標楷體" w:cs="新細明體"/>
          <w:color w:val="000000"/>
          <w:w w:val="102"/>
          <w:kern w:val="0"/>
          <w:sz w:val="28"/>
          <w:szCs w:val="28"/>
        </w:rPr>
        <w:t>方求償</w:t>
      </w:r>
      <w:r w:rsidRPr="00AB6DE4">
        <w:rPr>
          <w:rFonts w:ascii="標楷體" w:eastAsia="標楷體" w:hAnsi="標楷體" w:hint="eastAsia"/>
          <w:color w:val="000000"/>
          <w:sz w:val="28"/>
          <w:szCs w:val="28"/>
        </w:rPr>
        <w:t>。水泥基（墩）座型式，請於規劃設計時，預留排水孔徑或排水邊溝或預埋排水管（＊實際以案場現況洩水坡度及方位考量），以使水路暢通，避免造成積水。</w:t>
      </w:r>
    </w:p>
    <w:p w:rsidR="00CF01E5" w:rsidRPr="00AB6DE4" w:rsidRDefault="00CF01E5" w:rsidP="00CF01E5">
      <w:pPr>
        <w:snapToGrid w:val="0"/>
        <w:spacing w:line="560" w:lineRule="exact"/>
        <w:ind w:leftChars="263" w:left="1317" w:hangingChars="245" w:hanging="686"/>
        <w:jc w:val="both"/>
        <w:rPr>
          <w:rFonts w:ascii="標楷體" w:eastAsia="標楷體" w:hAnsi="標楷體"/>
          <w:color w:val="000000"/>
          <w:sz w:val="28"/>
          <w:szCs w:val="28"/>
        </w:rPr>
      </w:pPr>
      <w:r w:rsidRPr="00AB6DE4">
        <w:rPr>
          <w:rFonts w:ascii="標楷體" w:eastAsia="標楷體" w:hAnsi="標楷體" w:hint="eastAsia"/>
          <w:color w:val="000000"/>
          <w:sz w:val="28"/>
          <w:szCs w:val="28"/>
        </w:rPr>
        <w:t>（2）球場之現有設施（如球架等），為達前項設置之需求，必須遷移者，應經</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管理機關同意後遷移至適當地點，遷移設施費用由乙方負擔。</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rPr>
          <w:rStyle w:val="textrun"/>
          <w:rFonts w:ascii="標楷體" w:eastAsia="標楷體" w:hAnsi="標楷體"/>
          <w:color w:val="000000"/>
          <w:sz w:val="28"/>
          <w:szCs w:val="28"/>
        </w:rPr>
      </w:pPr>
      <w:r w:rsidRPr="00AB6DE4">
        <w:rPr>
          <w:rStyle w:val="textrun"/>
          <w:rFonts w:ascii="標楷體" w:eastAsia="標楷體" w:hAnsi="標楷體" w:hint="eastAsia"/>
          <w:color w:val="000000"/>
          <w:sz w:val="28"/>
          <w:szCs w:val="28"/>
        </w:rPr>
        <w:t>於</w:t>
      </w:r>
      <w:r w:rsidRPr="00AB6DE4">
        <w:rPr>
          <w:rStyle w:val="textrun"/>
          <w:rFonts w:ascii="標楷體" w:eastAsia="標楷體" w:hAnsi="標楷體"/>
          <w:color w:val="000000"/>
          <w:sz w:val="28"/>
          <w:szCs w:val="28"/>
        </w:rPr>
        <w:t>進出</w:t>
      </w:r>
      <w:r w:rsidRPr="00AB6DE4">
        <w:rPr>
          <w:rStyle w:val="textrun"/>
          <w:rFonts w:ascii="標楷體" w:eastAsia="標楷體" w:hAnsi="標楷體" w:hint="eastAsia"/>
          <w:color w:val="000000"/>
          <w:sz w:val="28"/>
          <w:szCs w:val="28"/>
        </w:rPr>
        <w:t>設置案場</w:t>
      </w:r>
      <w:r w:rsidRPr="00AB6DE4">
        <w:rPr>
          <w:rStyle w:val="textrun"/>
          <w:rFonts w:ascii="標楷體" w:eastAsia="標楷體" w:hAnsi="標楷體"/>
          <w:color w:val="000000"/>
          <w:sz w:val="28"/>
          <w:szCs w:val="28"/>
        </w:rPr>
        <w:t>應配合</w:t>
      </w:r>
      <w:r w:rsidRPr="00AB6DE4">
        <w:rPr>
          <w:rFonts w:ascii="標楷體" w:eastAsia="標楷體" w:hAnsi="標楷體" w:hint="eastAsia"/>
          <w:sz w:val="28"/>
          <w:szCs w:val="28"/>
        </w:rPr>
        <w:t>球場</w:t>
      </w:r>
      <w:r w:rsidRPr="00AB6DE4">
        <w:rPr>
          <w:rFonts w:ascii="標楷體" w:eastAsia="標楷體" w:hAnsi="標楷體" w:hint="eastAsia"/>
          <w:color w:val="000000"/>
          <w:sz w:val="28"/>
          <w:szCs w:val="28"/>
        </w:rPr>
        <w:t>管理機關</w:t>
      </w:r>
      <w:r w:rsidRPr="00AB6DE4">
        <w:rPr>
          <w:rStyle w:val="textrun"/>
          <w:rFonts w:ascii="標楷體" w:eastAsia="標楷體" w:hAnsi="標楷體"/>
          <w:color w:val="000000"/>
          <w:sz w:val="28"/>
          <w:szCs w:val="28"/>
        </w:rPr>
        <w:t>入場防疫消毒之規定(如有)。</w:t>
      </w:r>
    </w:p>
    <w:p w:rsidR="00CF01E5" w:rsidRPr="00AB6DE4" w:rsidRDefault="00CF01E5" w:rsidP="00CF01E5">
      <w:pPr>
        <w:numPr>
          <w:ilvl w:val="0"/>
          <w:numId w:val="10"/>
        </w:numPr>
        <w:tabs>
          <w:tab w:val="clear" w:pos="390"/>
          <w:tab w:val="num" w:pos="900"/>
        </w:tabs>
        <w:snapToGrid w:val="0"/>
        <w:spacing w:line="560" w:lineRule="exact"/>
        <w:ind w:leftChars="163" w:left="987" w:hangingChars="213" w:hanging="596"/>
        <w:jc w:val="both"/>
        <w:rPr>
          <w:rFonts w:ascii="標楷體" w:eastAsia="標楷體" w:hAnsi="標楷體"/>
          <w:color w:val="000000"/>
          <w:sz w:val="28"/>
          <w:szCs w:val="28"/>
        </w:rPr>
      </w:pPr>
      <w:r w:rsidRPr="00AB6DE4">
        <w:rPr>
          <w:rFonts w:ascii="標楷體" w:eastAsia="標楷體" w:hAnsi="標楷體"/>
          <w:color w:val="000000"/>
          <w:sz w:val="28"/>
          <w:szCs w:val="28"/>
        </w:rPr>
        <w:t>施工</w:t>
      </w:r>
      <w:r w:rsidRPr="00AB6DE4">
        <w:rPr>
          <w:rFonts w:ascii="標楷體" w:eastAsia="標楷體" w:hAnsi="標楷體" w:hint="eastAsia"/>
          <w:color w:val="000000"/>
          <w:sz w:val="28"/>
          <w:szCs w:val="28"/>
        </w:rPr>
        <w:t>及維護</w:t>
      </w:r>
      <w:r w:rsidRPr="00AB6DE4">
        <w:rPr>
          <w:rFonts w:ascii="標楷體" w:eastAsia="標楷體" w:hAnsi="標楷體"/>
          <w:color w:val="000000"/>
          <w:sz w:val="28"/>
          <w:szCs w:val="28"/>
        </w:rPr>
        <w:t>作業不可違背相關法令之規定，諸如勞基法、工安法規</w:t>
      </w:r>
      <w:r w:rsidRPr="00AB6DE4">
        <w:rPr>
          <w:rFonts w:ascii="標楷體" w:eastAsia="標楷體" w:hAnsi="標楷體" w:hint="eastAsia"/>
          <w:color w:val="000000"/>
          <w:sz w:val="28"/>
          <w:szCs w:val="28"/>
        </w:rPr>
        <w:t>、消防法規</w:t>
      </w:r>
      <w:r w:rsidRPr="00AB6DE4">
        <w:rPr>
          <w:rFonts w:ascii="標楷體" w:eastAsia="標楷體" w:hAnsi="標楷體"/>
          <w:color w:val="000000"/>
          <w:sz w:val="28"/>
          <w:szCs w:val="28"/>
        </w:rPr>
        <w:t>、配電規則、營建法規、建築技術規則</w:t>
      </w:r>
      <w:r w:rsidRPr="00AB6DE4">
        <w:rPr>
          <w:rFonts w:ascii="標楷體" w:eastAsia="標楷體" w:hAnsi="標楷體" w:hint="eastAsia"/>
          <w:color w:val="000000"/>
          <w:sz w:val="28"/>
          <w:szCs w:val="28"/>
        </w:rPr>
        <w:t>或太陽光電相關法令</w:t>
      </w:r>
      <w:r w:rsidRPr="00AB6DE4">
        <w:rPr>
          <w:rFonts w:ascii="標楷體" w:eastAsia="標楷體" w:hAnsi="標楷體"/>
          <w:color w:val="000000"/>
          <w:sz w:val="28"/>
          <w:szCs w:val="28"/>
        </w:rPr>
        <w:t>。</w:t>
      </w:r>
    </w:p>
    <w:p w:rsidR="00CF01E5" w:rsidRPr="00A42E14" w:rsidRDefault="00CF01E5" w:rsidP="00CF01E5"/>
    <w:p w:rsidR="00CF01E5" w:rsidRPr="00CF01E5" w:rsidRDefault="00CF01E5">
      <w:pPr>
        <w:rPr>
          <w:rFonts w:hint="eastAsia"/>
        </w:rPr>
      </w:pPr>
    </w:p>
    <w:sectPr w:rsidR="00CF01E5" w:rsidRPr="00CF01E5" w:rsidSect="0098405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0C" w:rsidRDefault="00270D0C" w:rsidP="00CF01E5">
      <w:r>
        <w:separator/>
      </w:r>
    </w:p>
  </w:endnote>
  <w:endnote w:type="continuationSeparator" w:id="0">
    <w:p w:rsidR="00270D0C" w:rsidRDefault="00270D0C" w:rsidP="00CF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標楷體">
    <w:altName w:val="Batang"/>
    <w:charset w:val="88"/>
    <w:family w:val="script"/>
    <w:pitch w:val="fixed"/>
    <w:sig w:usb0="F1007BFF" w:usb1="29F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0C" w:rsidRDefault="00270D0C" w:rsidP="00CF01E5">
      <w:r>
        <w:separator/>
      </w:r>
    </w:p>
  </w:footnote>
  <w:footnote w:type="continuationSeparator" w:id="0">
    <w:p w:rsidR="00270D0C" w:rsidRDefault="00270D0C" w:rsidP="00CF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BDA"/>
    <w:multiLevelType w:val="hybridMultilevel"/>
    <w:tmpl w:val="607CD526"/>
    <w:lvl w:ilvl="0" w:tplc="76B0CFE8">
      <w:start w:val="1"/>
      <w:numFmt w:val="taiwaneseCountingThousand"/>
      <w:lvlText w:val="(%1)"/>
      <w:lvlJc w:val="left"/>
      <w:pPr>
        <w:ind w:left="1189" w:hanging="480"/>
      </w:pPr>
      <w:rPr>
        <w:rFonts w:cs="Arial" w:hint="default"/>
        <w:sz w:val="2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0D20C8C"/>
    <w:multiLevelType w:val="hybridMultilevel"/>
    <w:tmpl w:val="A33E2060"/>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 w15:restartNumberingAfterBreak="0">
    <w:nsid w:val="13B53FD1"/>
    <w:multiLevelType w:val="hybridMultilevel"/>
    <w:tmpl w:val="88D287A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3"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50B2D"/>
    <w:multiLevelType w:val="hybridMultilevel"/>
    <w:tmpl w:val="E24C1DC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7" w15:restartNumberingAfterBreak="0">
    <w:nsid w:val="3DB217B8"/>
    <w:multiLevelType w:val="hybridMultilevel"/>
    <w:tmpl w:val="0026257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8" w15:restartNumberingAfterBreak="0">
    <w:nsid w:val="749A7633"/>
    <w:multiLevelType w:val="hybridMultilevel"/>
    <w:tmpl w:val="E0CA2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9" w15:restartNumberingAfterBreak="0">
    <w:nsid w:val="7BF530B5"/>
    <w:multiLevelType w:val="hybridMultilevel"/>
    <w:tmpl w:val="BEDC739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5E"/>
    <w:rsid w:val="00270D0C"/>
    <w:rsid w:val="00702EB1"/>
    <w:rsid w:val="0098405E"/>
    <w:rsid w:val="00AE70AC"/>
    <w:rsid w:val="00CF01E5"/>
    <w:rsid w:val="00D54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3C27B2-AC8B-4EFC-AC1E-262D8A68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405E"/>
    <w:pPr>
      <w:widowControl/>
      <w:spacing w:line="276" w:lineRule="auto"/>
      <w:ind w:leftChars="200" w:left="480"/>
      <w:contextualSpacing/>
    </w:pPr>
    <w:rPr>
      <w:rFonts w:ascii="Arial" w:hAnsi="Arial" w:cs="Arial"/>
      <w:kern w:val="0"/>
      <w:sz w:val="22"/>
      <w:szCs w:val="22"/>
    </w:rPr>
  </w:style>
  <w:style w:type="character" w:customStyle="1" w:styleId="a4">
    <w:name w:val="清單段落 字元"/>
    <w:link w:val="a3"/>
    <w:uiPriority w:val="34"/>
    <w:rsid w:val="0098405E"/>
    <w:rPr>
      <w:rFonts w:ascii="Arial" w:eastAsia="新細明體" w:hAnsi="Arial" w:cs="Arial"/>
      <w:kern w:val="0"/>
      <w:sz w:val="22"/>
    </w:rPr>
  </w:style>
  <w:style w:type="paragraph" w:styleId="a5">
    <w:name w:val="header"/>
    <w:basedOn w:val="a"/>
    <w:link w:val="a6"/>
    <w:uiPriority w:val="99"/>
    <w:unhideWhenUsed/>
    <w:rsid w:val="00CF01E5"/>
    <w:pPr>
      <w:tabs>
        <w:tab w:val="center" w:pos="4153"/>
        <w:tab w:val="right" w:pos="8306"/>
      </w:tabs>
      <w:snapToGrid w:val="0"/>
    </w:pPr>
    <w:rPr>
      <w:sz w:val="20"/>
      <w:szCs w:val="20"/>
    </w:rPr>
  </w:style>
  <w:style w:type="character" w:customStyle="1" w:styleId="a6">
    <w:name w:val="頁首 字元"/>
    <w:basedOn w:val="a0"/>
    <w:link w:val="a5"/>
    <w:uiPriority w:val="99"/>
    <w:rsid w:val="00CF01E5"/>
    <w:rPr>
      <w:rFonts w:ascii="Times New Roman" w:eastAsia="新細明體" w:hAnsi="Times New Roman" w:cs="Times New Roman"/>
      <w:sz w:val="20"/>
      <w:szCs w:val="20"/>
    </w:rPr>
  </w:style>
  <w:style w:type="paragraph" w:styleId="a7">
    <w:name w:val="footer"/>
    <w:basedOn w:val="a"/>
    <w:link w:val="a8"/>
    <w:uiPriority w:val="99"/>
    <w:unhideWhenUsed/>
    <w:rsid w:val="00CF01E5"/>
    <w:pPr>
      <w:tabs>
        <w:tab w:val="center" w:pos="4153"/>
        <w:tab w:val="right" w:pos="8306"/>
      </w:tabs>
      <w:snapToGrid w:val="0"/>
    </w:pPr>
    <w:rPr>
      <w:sz w:val="20"/>
      <w:szCs w:val="20"/>
    </w:rPr>
  </w:style>
  <w:style w:type="character" w:customStyle="1" w:styleId="a8">
    <w:name w:val="頁尾 字元"/>
    <w:basedOn w:val="a0"/>
    <w:link w:val="a7"/>
    <w:uiPriority w:val="99"/>
    <w:rsid w:val="00CF01E5"/>
    <w:rPr>
      <w:rFonts w:ascii="Times New Roman" w:eastAsia="新細明體" w:hAnsi="Times New Roman" w:cs="Times New Roman"/>
      <w:sz w:val="20"/>
      <w:szCs w:val="20"/>
    </w:rPr>
  </w:style>
  <w:style w:type="paragraph" w:customStyle="1" w:styleId="TableParagraph">
    <w:name w:val="Table Paragraph"/>
    <w:basedOn w:val="a"/>
    <w:uiPriority w:val="1"/>
    <w:qFormat/>
    <w:rsid w:val="00CF01E5"/>
    <w:pPr>
      <w:autoSpaceDE w:val="0"/>
      <w:autoSpaceDN w:val="0"/>
    </w:pPr>
    <w:rPr>
      <w:rFonts w:ascii="Noto Sans CJK JP Regular" w:eastAsia="Noto Sans CJK JP Regular" w:hAnsi="Noto Sans CJK JP Regular" w:cs="Noto Sans CJK JP Regular"/>
      <w:kern w:val="0"/>
      <w:sz w:val="22"/>
      <w:szCs w:val="22"/>
      <w:lang w:eastAsia="en-US"/>
    </w:rPr>
  </w:style>
  <w:style w:type="character" w:customStyle="1" w:styleId="textrun">
    <w:name w:val="textrun"/>
    <w:rsid w:val="00CF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沈靜月</dc:creator>
  <cp:keywords/>
  <dc:description/>
  <cp:lastModifiedBy>沈靜月</cp:lastModifiedBy>
  <cp:revision>2</cp:revision>
  <dcterms:created xsi:type="dcterms:W3CDTF">2019-06-28T07:07:00Z</dcterms:created>
  <dcterms:modified xsi:type="dcterms:W3CDTF">2019-06-28T07:07:00Z</dcterms:modified>
</cp:coreProperties>
</file>