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CE3" w:rsidRDefault="008160CC">
      <w:pPr>
        <w:pStyle w:val="Standard"/>
        <w:overflowPunct w:val="0"/>
        <w:spacing w:after="240" w:line="460" w:lineRule="exact"/>
        <w:rPr>
          <w:rFonts w:ascii="標楷體" w:eastAsia="標楷體" w:hAnsi="標楷體" w:cs="細明體, MingLiU"/>
          <w:b/>
          <w:color w:val="000000"/>
          <w:sz w:val="40"/>
          <w:szCs w:val="40"/>
          <w:lang w:val="zh-TW"/>
        </w:rPr>
      </w:pPr>
      <w:bookmarkStart w:id="0" w:name="_GoBack"/>
      <w:r>
        <w:rPr>
          <w:rFonts w:ascii="標楷體" w:eastAsia="標楷體" w:hAnsi="標楷體" w:cs="細明體, MingLiU"/>
          <w:b/>
          <w:color w:val="000000"/>
          <w:sz w:val="40"/>
          <w:szCs w:val="40"/>
          <w:lang w:val="zh-TW"/>
        </w:rPr>
        <w:t>香港澳門學歷檢覈及採認辦法修正條文</w:t>
      </w:r>
    </w:p>
    <w:bookmarkEnd w:id="0"/>
    <w:p w:rsidR="00150CE3" w:rsidRDefault="008160CC">
      <w:pPr>
        <w:pStyle w:val="Standard"/>
        <w:overflowPunct w:val="0"/>
        <w:spacing w:line="480" w:lineRule="exact"/>
        <w:ind w:left="992" w:hanging="992"/>
        <w:jc w:val="both"/>
        <w:rPr>
          <w:rFonts w:ascii="標楷體" w:eastAsia="標楷體" w:hAnsi="標楷體" w:cs="標楷體"/>
          <w:sz w:val="32"/>
          <w:szCs w:val="32"/>
        </w:rPr>
      </w:pPr>
      <w:r>
        <w:rPr>
          <w:rFonts w:ascii="標楷體" w:eastAsia="標楷體" w:hAnsi="標楷體" w:cs="標楷體"/>
          <w:sz w:val="32"/>
          <w:szCs w:val="32"/>
        </w:rPr>
        <w:t>第一條　　本辦法依香港澳門關係條例（以下簡稱本條例）第二十條第一項規定訂定之。</w:t>
      </w:r>
    </w:p>
    <w:p w:rsidR="00150CE3" w:rsidRDefault="008160CC">
      <w:pPr>
        <w:pStyle w:val="Standard"/>
        <w:widowControl w:val="0"/>
        <w:overflowPunct w:val="0"/>
        <w:spacing w:line="480" w:lineRule="exact"/>
        <w:ind w:left="320" w:hanging="320"/>
        <w:jc w:val="both"/>
      </w:pPr>
      <w:r>
        <w:rPr>
          <w:rFonts w:ascii="標楷體" w:eastAsia="標楷體" w:hAnsi="標楷體" w:cs="細明體, MingLiU"/>
          <w:color w:val="000000"/>
          <w:sz w:val="32"/>
          <w:szCs w:val="32"/>
          <w:lang w:val="zh-TW"/>
        </w:rPr>
        <w:t xml:space="preserve">第二條　　</w:t>
      </w:r>
      <w:r>
        <w:rPr>
          <w:rFonts w:ascii="標楷體" w:eastAsia="標楷體" w:hAnsi="標楷體" w:cs="標楷體"/>
          <w:sz w:val="32"/>
          <w:szCs w:val="32"/>
        </w:rPr>
        <w:t>本辦法用詞，定義如下：</w:t>
      </w:r>
    </w:p>
    <w:p w:rsidR="00150CE3" w:rsidRDefault="008160CC">
      <w:pPr>
        <w:pStyle w:val="Standard"/>
        <w:widowControl w:val="0"/>
        <w:overflowPunct w:val="0"/>
        <w:spacing w:line="480" w:lineRule="exact"/>
        <w:ind w:left="2267" w:hanging="707"/>
        <w:jc w:val="both"/>
      </w:pPr>
      <w:r>
        <w:rPr>
          <w:rFonts w:ascii="標楷體" w:eastAsia="標楷體" w:hAnsi="標楷體" w:cs="細明體, MingLiU"/>
          <w:color w:val="000000"/>
          <w:sz w:val="32"/>
          <w:szCs w:val="32"/>
          <w:lang w:val="zh-TW"/>
        </w:rPr>
        <w:t>一、</w:t>
      </w:r>
      <w:r>
        <w:rPr>
          <w:rFonts w:ascii="標楷體" w:eastAsia="標楷體" w:hAnsi="標楷體" w:cs="標楷體"/>
          <w:sz w:val="32"/>
          <w:szCs w:val="32"/>
        </w:rPr>
        <w:t>檢覈：指香港或澳門各級各類學校畢業證（明）書、學位證（明）書、高級文憑或肄業證（明）書之審查。</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二、採認：指經檢覈後就香港或澳門學歷與臺灣地區同級同類學校相當之學歷之認定。</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三、認可名冊：指教育部（以下簡稱本部）就香港或澳門高等學校或機構之研究及教學品質進行認可後，收錄其名稱、地址所彙集並公告之名冊。</w:t>
      </w:r>
    </w:p>
    <w:p w:rsidR="00150CE3" w:rsidRDefault="008160CC">
      <w:pPr>
        <w:pStyle w:val="Standard"/>
        <w:overflowPunct w:val="0"/>
        <w:spacing w:line="480" w:lineRule="exact"/>
        <w:ind w:left="992" w:hanging="992"/>
        <w:jc w:val="both"/>
      </w:pPr>
      <w:r>
        <w:rPr>
          <w:rFonts w:ascii="標楷體" w:eastAsia="標楷體" w:hAnsi="標楷體" w:cs="細明體, MingLiU"/>
          <w:color w:val="000000"/>
          <w:sz w:val="32"/>
          <w:szCs w:val="32"/>
          <w:lang w:val="zh-TW"/>
        </w:rPr>
        <w:t xml:space="preserve">第三條　　</w:t>
      </w:r>
      <w:r>
        <w:rPr>
          <w:rFonts w:ascii="標楷體" w:eastAsia="標楷體" w:hAnsi="標楷體" w:cs="標楷體"/>
          <w:sz w:val="32"/>
          <w:szCs w:val="32"/>
        </w:rPr>
        <w:t>香港或澳門中等以下學校及本部認可名冊所列之專科以上學校學歷之檢覈</w:t>
      </w:r>
      <w:r>
        <w:rPr>
          <w:rFonts w:ascii="新細明體, PMingLiU" w:hAnsi="新細明體, PMingLiU" w:cs="新細明體, PMingLiU"/>
          <w:sz w:val="32"/>
          <w:szCs w:val="32"/>
        </w:rPr>
        <w:t>，</w:t>
      </w:r>
      <w:r>
        <w:rPr>
          <w:rFonts w:ascii="標楷體" w:eastAsia="標楷體" w:hAnsi="標楷體" w:cs="標楷體"/>
          <w:sz w:val="32"/>
          <w:szCs w:val="32"/>
        </w:rPr>
        <w:t>由學校自行檢覈屬實者予以採認。</w:t>
      </w:r>
    </w:p>
    <w:p w:rsidR="00150CE3" w:rsidRDefault="008160CC">
      <w:pPr>
        <w:pStyle w:val="Standard"/>
        <w:overflowPunct w:val="0"/>
        <w:spacing w:line="480" w:lineRule="exact"/>
        <w:ind w:left="992" w:hanging="992"/>
        <w:jc w:val="both"/>
      </w:pPr>
      <w:r>
        <w:rPr>
          <w:rFonts w:ascii="標楷體" w:eastAsia="標楷體" w:hAnsi="標楷體" w:cs="細明體, MingLiU"/>
          <w:color w:val="000000"/>
          <w:sz w:val="32"/>
          <w:szCs w:val="32"/>
          <w:lang w:val="zh-TW"/>
        </w:rPr>
        <w:t xml:space="preserve">第四條　　</w:t>
      </w:r>
      <w:r>
        <w:rPr>
          <w:rFonts w:ascii="標楷體" w:eastAsia="標楷體" w:hAnsi="標楷體" w:cs="標楷體"/>
          <w:color w:val="000000"/>
          <w:sz w:val="32"/>
          <w:szCs w:val="32"/>
        </w:rPr>
        <w:t>申請人</w:t>
      </w:r>
      <w:r>
        <w:rPr>
          <w:rFonts w:ascii="標楷體" w:eastAsia="標楷體" w:hAnsi="標楷體" w:cs="標楷體"/>
          <w:sz w:val="32"/>
          <w:szCs w:val="32"/>
        </w:rPr>
        <w:t>申請</w:t>
      </w:r>
      <w:r>
        <w:rPr>
          <w:rFonts w:ascii="標楷體" w:eastAsia="標楷體" w:hAnsi="標楷體" w:cs="標楷體"/>
          <w:color w:val="000000"/>
          <w:sz w:val="32"/>
          <w:szCs w:val="32"/>
        </w:rPr>
        <w:t>香港或澳門專科以上學校學歷之檢覈及採認，應自行檢具下列文件：</w:t>
      </w:r>
    </w:p>
    <w:p w:rsidR="00150CE3" w:rsidRDefault="008160CC">
      <w:pPr>
        <w:pStyle w:val="Standard"/>
        <w:widowControl w:val="0"/>
        <w:overflowPunct w:val="0"/>
        <w:spacing w:line="480" w:lineRule="exact"/>
        <w:ind w:left="2268" w:hanging="708"/>
        <w:jc w:val="both"/>
      </w:pPr>
      <w:r>
        <w:rPr>
          <w:rFonts w:ascii="標楷體" w:eastAsia="標楷體" w:hAnsi="標楷體" w:cs="標楷體"/>
          <w:color w:val="000000"/>
          <w:sz w:val="32"/>
          <w:szCs w:val="32"/>
        </w:rPr>
        <w:t>一、經行政院在香港或澳門設立或指定機構或委託之民間團體驗證之</w:t>
      </w:r>
      <w:r>
        <w:rPr>
          <w:rFonts w:ascii="標楷體" w:eastAsia="標楷體" w:hAnsi="標楷體" w:cs="細明體, MingLiU"/>
          <w:color w:val="000000"/>
          <w:sz w:val="32"/>
          <w:szCs w:val="32"/>
          <w:lang w:val="zh-TW"/>
        </w:rPr>
        <w:t>學歷</w:t>
      </w:r>
      <w:r>
        <w:rPr>
          <w:rFonts w:ascii="標楷體" w:eastAsia="標楷體" w:hAnsi="標楷體" w:cs="標楷體"/>
          <w:color w:val="000000"/>
          <w:sz w:val="32"/>
          <w:szCs w:val="32"/>
        </w:rPr>
        <w:t>證件（外文應附中譯本）。</w:t>
      </w:r>
    </w:p>
    <w:p w:rsidR="00150CE3" w:rsidRDefault="008160CC">
      <w:pPr>
        <w:pStyle w:val="Standard"/>
        <w:widowControl w:val="0"/>
        <w:overflowPunct w:val="0"/>
        <w:spacing w:line="480" w:lineRule="exact"/>
        <w:ind w:left="2268" w:hanging="708"/>
        <w:jc w:val="both"/>
        <w:rPr>
          <w:rFonts w:ascii="標楷體" w:eastAsia="標楷體" w:hAnsi="標楷體" w:cs="標楷體"/>
          <w:color w:val="000000"/>
          <w:sz w:val="32"/>
          <w:szCs w:val="32"/>
        </w:rPr>
      </w:pPr>
      <w:r>
        <w:rPr>
          <w:rFonts w:ascii="標楷體" w:eastAsia="標楷體" w:hAnsi="標楷體" w:cs="標楷體"/>
          <w:color w:val="000000"/>
          <w:sz w:val="32"/>
          <w:szCs w:val="32"/>
        </w:rPr>
        <w:t>二、經行政院在香港或澳門設立或指定機構或委託之民間團體驗證之歷年成績證明（外文應附中譯本）。</w:t>
      </w:r>
    </w:p>
    <w:p w:rsidR="00150CE3" w:rsidRDefault="008160CC">
      <w:pPr>
        <w:pStyle w:val="Standard"/>
        <w:widowControl w:val="0"/>
        <w:overflowPunct w:val="0"/>
        <w:spacing w:line="480" w:lineRule="exact"/>
        <w:ind w:left="2268" w:hanging="708"/>
        <w:jc w:val="both"/>
      </w:pPr>
      <w:r>
        <w:rPr>
          <w:rFonts w:ascii="標楷體" w:eastAsia="標楷體" w:hAnsi="標楷體" w:cs="標楷體"/>
          <w:color w:val="000000"/>
          <w:sz w:val="32"/>
          <w:szCs w:val="32"/>
        </w:rPr>
        <w:t>三、身分</w:t>
      </w:r>
      <w:r>
        <w:rPr>
          <w:rFonts w:ascii="標楷體" w:eastAsia="標楷體" w:hAnsi="標楷體" w:cs="標楷體"/>
          <w:color w:val="000000"/>
          <w:sz w:val="32"/>
          <w:szCs w:val="32"/>
        </w:rPr>
        <w:t>證明文件影本及修業起訖期間之香港或澳門</w:t>
      </w:r>
      <w:r>
        <w:rPr>
          <w:rFonts w:ascii="標楷體" w:eastAsia="標楷體" w:hAnsi="標楷體" w:cs="標楷體"/>
          <w:sz w:val="32"/>
          <w:szCs w:val="32"/>
        </w:rPr>
        <w:t>主管機關</w:t>
      </w:r>
      <w:r>
        <w:rPr>
          <w:rFonts w:ascii="標楷體" w:eastAsia="標楷體" w:hAnsi="標楷體" w:cs="標楷體"/>
          <w:color w:val="000000"/>
          <w:sz w:val="32"/>
          <w:szCs w:val="32"/>
        </w:rPr>
        <w:t>核發之出入境紀錄證明。但申請人為香港或澳門永久居民者，免附出入境紀錄證明。</w:t>
      </w:r>
    </w:p>
    <w:p w:rsidR="00150CE3" w:rsidRDefault="008160CC">
      <w:pPr>
        <w:pStyle w:val="Standard"/>
        <w:widowControl w:val="0"/>
        <w:overflowPunct w:val="0"/>
        <w:spacing w:line="480" w:lineRule="exact"/>
        <w:ind w:left="2268" w:hanging="708"/>
        <w:jc w:val="both"/>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四、其他相關文件。</w:t>
      </w:r>
    </w:p>
    <w:p w:rsidR="00150CE3" w:rsidRDefault="008160CC">
      <w:pPr>
        <w:pStyle w:val="Standard"/>
        <w:overflowPunct w:val="0"/>
        <w:spacing w:line="480" w:lineRule="exact"/>
        <w:ind w:left="992" w:hanging="992"/>
        <w:jc w:val="both"/>
      </w:pPr>
      <w:r>
        <w:rPr>
          <w:rFonts w:ascii="標楷體" w:eastAsia="標楷體" w:hAnsi="標楷體" w:cs="標楷體"/>
          <w:color w:val="000000"/>
          <w:sz w:val="32"/>
          <w:szCs w:val="32"/>
        </w:rPr>
        <w:t xml:space="preserve">第五條　　</w:t>
      </w:r>
      <w:r>
        <w:rPr>
          <w:rFonts w:ascii="標楷體" w:eastAsia="標楷體" w:hAnsi="標楷體" w:cs="標楷體"/>
          <w:sz w:val="32"/>
          <w:szCs w:val="32"/>
        </w:rPr>
        <w:t>香港或澳門學歷經檢覈，其修業期限及修習課程均與臺灣地區同級同類學校規定相當者，始予認定其與臺灣地區同級同類學校相當之學歷。</w:t>
      </w:r>
    </w:p>
    <w:p w:rsidR="00150CE3" w:rsidRDefault="008160CC">
      <w:pPr>
        <w:pStyle w:val="Standard"/>
        <w:widowControl w:val="0"/>
        <w:overflowPunct w:val="0"/>
        <w:spacing w:line="480" w:lineRule="exact"/>
        <w:ind w:left="991" w:firstLine="707"/>
        <w:jc w:val="both"/>
      </w:pPr>
      <w:r>
        <w:rPr>
          <w:rFonts w:ascii="標楷體" w:eastAsia="標楷體" w:hAnsi="標楷體" w:cs="標楷體"/>
          <w:sz w:val="32"/>
          <w:szCs w:val="32"/>
        </w:rPr>
        <w:t>前項所稱修業期限，指申請人停留於當地學校之修業時間；其規定如下：</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一</w:t>
      </w:r>
      <w:r>
        <w:rPr>
          <w:rFonts w:ascii="新細明體, PMingLiU" w:hAnsi="新細明體, PMingLiU" w:cs="新細明體, PMingLiU"/>
          <w:sz w:val="32"/>
          <w:szCs w:val="32"/>
        </w:rPr>
        <w:t>、</w:t>
      </w:r>
      <w:r>
        <w:rPr>
          <w:rFonts w:ascii="標楷體" w:eastAsia="標楷體" w:hAnsi="標楷體" w:cs="標楷體"/>
          <w:sz w:val="32"/>
          <w:szCs w:val="32"/>
        </w:rPr>
        <w:t>持高級中等學校學歷或高級文憑者，累計修業時間應符合香港或澳門學制規定。</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二、持學士學位者，累計修業時間至少須滿三十二個月。</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三、持碩士學位者，累計修業時間至少須滿八個月。</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四、持博士學位者，累計修業時間至少須滿十六個月。</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五、碩士、博士學位同時於同校系（所）修習者，累計修業時間至少須滿二十四個月。</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六</w:t>
      </w:r>
      <w:r>
        <w:rPr>
          <w:rFonts w:ascii="新細明體, PMingLiU" w:hAnsi="新細明體, PMingLiU" w:cs="新細明體, PMingLiU"/>
          <w:sz w:val="32"/>
          <w:szCs w:val="32"/>
        </w:rPr>
        <w:t>、</w:t>
      </w:r>
      <w:r>
        <w:rPr>
          <w:rFonts w:ascii="標楷體" w:eastAsia="標楷體" w:hAnsi="標楷體" w:cs="標楷體"/>
          <w:sz w:val="32"/>
          <w:szCs w:val="32"/>
        </w:rPr>
        <w:t>以專科學校畢業學歷或具專科學校畢業同等學力進修學士學位者，累計修業時間至少須滿十六個月。</w:t>
      </w:r>
    </w:p>
    <w:p w:rsidR="00150CE3" w:rsidRDefault="008160CC">
      <w:pPr>
        <w:pStyle w:val="Standard"/>
        <w:widowControl w:val="0"/>
        <w:overflowPunct w:val="0"/>
        <w:spacing w:line="480" w:lineRule="exact"/>
        <w:ind w:left="991" w:firstLine="707"/>
        <w:jc w:val="both"/>
      </w:pPr>
      <w:r>
        <w:rPr>
          <w:rFonts w:ascii="標楷體" w:eastAsia="標楷體" w:hAnsi="標楷體" w:cs="標楷體"/>
          <w:sz w:val="32"/>
          <w:szCs w:val="32"/>
        </w:rPr>
        <w:t>前項修業期限，應以申請人所持香港或澳門學歷之學制、修業期間學校行事曆及出入境紀錄證明等綜合判斷，其所停留期間非屬學校正規學制及行事曆所示修課時間者，不予採計。</w:t>
      </w:r>
    </w:p>
    <w:p w:rsidR="00150CE3" w:rsidRDefault="008160CC">
      <w:pPr>
        <w:pStyle w:val="Standard"/>
        <w:widowControl w:val="0"/>
        <w:overflowPunct w:val="0"/>
        <w:spacing w:line="480" w:lineRule="exact"/>
        <w:ind w:left="991" w:firstLine="707"/>
        <w:jc w:val="both"/>
      </w:pPr>
      <w:r>
        <w:rPr>
          <w:rFonts w:ascii="標楷體" w:eastAsia="標楷體" w:hAnsi="標楷體" w:cs="標楷體"/>
          <w:sz w:val="32"/>
          <w:szCs w:val="32"/>
        </w:rPr>
        <w:t>修讀學士學位表現優異者，其修業期限，得衡酌各該香港或澳門學校學制之規定及實際情況，</w:t>
      </w:r>
      <w:r>
        <w:rPr>
          <w:rFonts w:ascii="標楷體" w:eastAsia="標楷體" w:hAnsi="標楷體" w:cs="標楷體"/>
          <w:sz w:val="32"/>
          <w:szCs w:val="32"/>
        </w:rPr>
        <w:t>就第二項第二款修業時間予以酌減。</w:t>
      </w:r>
    </w:p>
    <w:p w:rsidR="00150CE3" w:rsidRDefault="008160CC">
      <w:pPr>
        <w:pStyle w:val="Standard"/>
        <w:widowControl w:val="0"/>
        <w:overflowPunct w:val="0"/>
        <w:spacing w:line="480" w:lineRule="exact"/>
        <w:ind w:left="991" w:firstLine="707"/>
        <w:jc w:val="both"/>
      </w:pPr>
      <w:r>
        <w:rPr>
          <w:rFonts w:ascii="標楷體" w:eastAsia="標楷體" w:hAnsi="標楷體" w:cs="標楷體"/>
          <w:sz w:val="32"/>
          <w:szCs w:val="32"/>
        </w:rPr>
        <w:t>符合特殊教育法所定身心障礙者，其修業期限，得衡酌各該香港或澳門學校學制之規定、身心障礙程度及其他實際情況，就第二項各款修業時間予以酌減。</w:t>
      </w:r>
    </w:p>
    <w:p w:rsidR="00150CE3" w:rsidRDefault="008160CC">
      <w:pPr>
        <w:pStyle w:val="Standard"/>
        <w:overflowPunct w:val="0"/>
        <w:spacing w:line="480" w:lineRule="exact"/>
        <w:ind w:left="992" w:hanging="992"/>
        <w:jc w:val="both"/>
      </w:pPr>
      <w:r>
        <w:rPr>
          <w:rFonts w:ascii="標楷體" w:eastAsia="標楷體" w:hAnsi="標楷體" w:cs="標楷體"/>
          <w:sz w:val="32"/>
          <w:szCs w:val="32"/>
        </w:rPr>
        <w:lastRenderedPageBreak/>
        <w:t xml:space="preserve">第六條　　</w:t>
      </w:r>
      <w:r>
        <w:rPr>
          <w:rFonts w:ascii="標楷體" w:eastAsia="標楷體" w:hAnsi="標楷體" w:cs="標楷體"/>
          <w:color w:val="000000"/>
          <w:sz w:val="32"/>
          <w:szCs w:val="32"/>
        </w:rPr>
        <w:t>經由國際學術合作模式，同時在臺灣地區大學及本部認可名冊內所列之香港或澳門專科以上學校修讀同級學位者，不得全程於臺灣地區大學修業；其修業期限，得累計其停留於各當地大學之修業時間，並應符合下列規定，不適用前條第二項規定：</w:t>
      </w:r>
    </w:p>
    <w:p w:rsidR="00150CE3" w:rsidRDefault="008160CC">
      <w:pPr>
        <w:pStyle w:val="Standard"/>
        <w:widowControl w:val="0"/>
        <w:overflowPunct w:val="0"/>
        <w:spacing w:line="480" w:lineRule="exact"/>
        <w:ind w:left="2268" w:hanging="708"/>
        <w:jc w:val="both"/>
      </w:pPr>
      <w:r>
        <w:rPr>
          <w:rFonts w:ascii="標楷體" w:eastAsia="標楷體" w:hAnsi="標楷體" w:cs="標楷體"/>
          <w:color w:val="000000"/>
          <w:sz w:val="32"/>
          <w:szCs w:val="32"/>
        </w:rPr>
        <w:t>一、持學士學位者，累計在二校修業時間至少須滿三十二個月。</w:t>
      </w:r>
    </w:p>
    <w:p w:rsidR="00150CE3" w:rsidRDefault="008160CC">
      <w:pPr>
        <w:pStyle w:val="Standard"/>
        <w:widowControl w:val="0"/>
        <w:overflowPunct w:val="0"/>
        <w:spacing w:line="480" w:lineRule="exact"/>
        <w:ind w:left="2268" w:hanging="708"/>
        <w:jc w:val="both"/>
      </w:pPr>
      <w:r>
        <w:rPr>
          <w:rFonts w:ascii="標楷體" w:eastAsia="標楷體" w:hAnsi="標楷體" w:cs="標楷體"/>
          <w:color w:val="000000"/>
          <w:sz w:val="32"/>
          <w:szCs w:val="32"/>
        </w:rPr>
        <w:t>二、持碩士學位者，累計在二校修業時間至少須滿十二個月。</w:t>
      </w:r>
    </w:p>
    <w:p w:rsidR="00150CE3" w:rsidRDefault="008160CC">
      <w:pPr>
        <w:pStyle w:val="Standard"/>
        <w:widowControl w:val="0"/>
        <w:overflowPunct w:val="0"/>
        <w:spacing w:line="480" w:lineRule="exact"/>
        <w:ind w:left="2268" w:hanging="708"/>
        <w:jc w:val="both"/>
      </w:pPr>
      <w:r>
        <w:rPr>
          <w:rFonts w:ascii="標楷體" w:eastAsia="標楷體" w:hAnsi="標楷體" w:cs="標楷體"/>
          <w:color w:val="000000"/>
          <w:sz w:val="32"/>
          <w:szCs w:val="32"/>
        </w:rPr>
        <w:t>三、持博士學位者，累計在二校修業時間至少須滿二十四個月。</w:t>
      </w:r>
    </w:p>
    <w:p w:rsidR="00150CE3" w:rsidRDefault="008160CC">
      <w:pPr>
        <w:pStyle w:val="Standard"/>
        <w:widowControl w:val="0"/>
        <w:overflowPunct w:val="0"/>
        <w:spacing w:line="480" w:lineRule="exact"/>
        <w:ind w:left="991" w:firstLine="707"/>
        <w:jc w:val="both"/>
      </w:pPr>
      <w:r>
        <w:rPr>
          <w:rFonts w:ascii="標楷體" w:eastAsia="標楷體" w:hAnsi="標楷體" w:cs="標楷體"/>
          <w:color w:val="000000"/>
          <w:sz w:val="32"/>
          <w:szCs w:val="32"/>
        </w:rPr>
        <w:t>前項申請人於臺灣地區及香港或澳門專科以上學校修習之學分數，累計應各達獲頒學位所需總學分數之三分之一以上。</w:t>
      </w:r>
    </w:p>
    <w:p w:rsidR="00150CE3" w:rsidRDefault="008160CC">
      <w:pPr>
        <w:pStyle w:val="Standard"/>
        <w:widowControl w:val="0"/>
        <w:overflowPunct w:val="0"/>
        <w:spacing w:line="480" w:lineRule="exact"/>
        <w:ind w:left="991" w:firstLine="707"/>
        <w:jc w:val="both"/>
      </w:pPr>
      <w:r>
        <w:rPr>
          <w:rFonts w:ascii="標楷體" w:eastAsia="標楷體" w:hAnsi="標楷體" w:cs="標楷體"/>
          <w:color w:val="000000"/>
          <w:sz w:val="32"/>
          <w:szCs w:val="32"/>
        </w:rPr>
        <w:t>申請人擬入學大學就讀，且修業時間達第一項或前條第二項所定修業期限三分之二以上者，其修業期限得由受理學校就申請人所持香港或澳門</w:t>
      </w:r>
      <w:r>
        <w:rPr>
          <w:rFonts w:ascii="標楷體" w:eastAsia="標楷體" w:hAnsi="標楷體" w:cs="標楷體"/>
          <w:sz w:val="32"/>
          <w:szCs w:val="32"/>
        </w:rPr>
        <w:t>學歷</w:t>
      </w:r>
      <w:r>
        <w:rPr>
          <w:rFonts w:ascii="標楷體" w:eastAsia="標楷體" w:hAnsi="標楷體" w:cs="標楷體"/>
          <w:color w:val="000000"/>
          <w:sz w:val="32"/>
          <w:szCs w:val="32"/>
        </w:rPr>
        <w:t>之學制、修業期間學校行事曆、出入境紀錄證明及臺灣地區同級同類學校學制等綜合判斷是否符合大學入學同等學力後，予以採認。</w:t>
      </w:r>
    </w:p>
    <w:p w:rsidR="00150CE3" w:rsidRDefault="008160CC">
      <w:pPr>
        <w:pStyle w:val="Standard"/>
        <w:widowControl w:val="0"/>
        <w:overflowPunct w:val="0"/>
        <w:spacing w:line="480" w:lineRule="exact"/>
        <w:ind w:left="991" w:firstLine="707"/>
        <w:jc w:val="both"/>
      </w:pPr>
      <w:r>
        <w:rPr>
          <w:rFonts w:ascii="標楷體" w:eastAsia="標楷體" w:hAnsi="標楷體" w:cs="標楷體"/>
          <w:color w:val="000000"/>
          <w:sz w:val="32"/>
          <w:szCs w:val="32"/>
        </w:rPr>
        <w:t>申請人所持香港或澳門學歷，依香港或澳門學校規定須跨國或跨大陸地區修習者，由申請人檢具香港或澳門學校證</w:t>
      </w:r>
      <w:r>
        <w:rPr>
          <w:rFonts w:ascii="標楷體" w:eastAsia="標楷體" w:hAnsi="標楷體" w:cs="標楷體"/>
          <w:color w:val="000000"/>
          <w:sz w:val="32"/>
          <w:szCs w:val="32"/>
        </w:rPr>
        <w:t>明文件並經檢覈後，其跨國或跨大陸地區之修業時間得併計為前條第二項所定修業期限，且該跨國或跨大陸地區修習學校應符合大學辦理國外學歷採認辦法第四條第一款或大陸地區學歷採認辦法第二條第五款之規定。</w:t>
      </w:r>
    </w:p>
    <w:p w:rsidR="00150CE3" w:rsidRDefault="008160CC">
      <w:pPr>
        <w:pStyle w:val="Standard"/>
        <w:widowControl w:val="0"/>
        <w:overflowPunct w:val="0"/>
        <w:spacing w:line="480" w:lineRule="exact"/>
        <w:ind w:left="991" w:firstLine="707"/>
        <w:jc w:val="both"/>
      </w:pPr>
      <w:r>
        <w:rPr>
          <w:rFonts w:ascii="標楷體" w:eastAsia="標楷體" w:hAnsi="標楷體" w:cs="標楷體"/>
          <w:color w:val="000000"/>
          <w:sz w:val="32"/>
          <w:szCs w:val="32"/>
        </w:rPr>
        <w:t>申請人持臺灣地區大學與香港或澳門大學合作設立經本部專案核定之學位專班學歷入學者，其停留臺灣地</w:t>
      </w:r>
      <w:r>
        <w:rPr>
          <w:rFonts w:ascii="標楷體" w:eastAsia="標楷體" w:hAnsi="標楷體" w:cs="標楷體"/>
          <w:color w:val="000000"/>
          <w:sz w:val="32"/>
          <w:szCs w:val="32"/>
        </w:rPr>
        <w:lastRenderedPageBreak/>
        <w:t>區大學之修業時間得併計為第一項或前條第二項所定修業期限。</w:t>
      </w:r>
    </w:p>
    <w:p w:rsidR="00150CE3" w:rsidRDefault="008160CC">
      <w:pPr>
        <w:pStyle w:val="Standard"/>
        <w:overflowPunct w:val="0"/>
        <w:spacing w:line="480" w:lineRule="exact"/>
        <w:ind w:left="992" w:hanging="992"/>
        <w:jc w:val="both"/>
      </w:pPr>
      <w:r>
        <w:rPr>
          <w:rFonts w:ascii="標楷體" w:eastAsia="標楷體" w:hAnsi="標楷體" w:cs="標楷體"/>
          <w:color w:val="000000"/>
          <w:sz w:val="32"/>
          <w:szCs w:val="32"/>
        </w:rPr>
        <w:t xml:space="preserve">第七條　　</w:t>
      </w:r>
      <w:r>
        <w:rPr>
          <w:rFonts w:ascii="標楷體" w:eastAsia="標楷體" w:hAnsi="標楷體" w:cs="標楷體"/>
          <w:sz w:val="32"/>
          <w:szCs w:val="32"/>
        </w:rPr>
        <w:t>香港或澳門專科以上學校製發之學歷有下列情形之一者，不予檢覈及採認：</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一、經</w:t>
      </w:r>
      <w:r>
        <w:rPr>
          <w:rFonts w:ascii="標楷體" w:eastAsia="標楷體" w:hAnsi="標楷體" w:cs="標楷體"/>
          <w:color w:val="000000"/>
          <w:sz w:val="32"/>
          <w:szCs w:val="32"/>
        </w:rPr>
        <w:t>函授</w:t>
      </w:r>
      <w:r>
        <w:rPr>
          <w:rFonts w:ascii="標楷體" w:eastAsia="標楷體" w:hAnsi="標楷體" w:cs="標楷體"/>
          <w:sz w:val="32"/>
          <w:szCs w:val="32"/>
        </w:rPr>
        <w:t>方式取得。</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二、各類研習班所取得之修課證書（明）。</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三、取得</w:t>
      </w:r>
      <w:r>
        <w:rPr>
          <w:rFonts w:ascii="標楷體" w:eastAsia="標楷體" w:hAnsi="標楷體" w:cs="標楷體"/>
          <w:color w:val="000000"/>
          <w:sz w:val="32"/>
          <w:szCs w:val="32"/>
        </w:rPr>
        <w:t>博士學位</w:t>
      </w:r>
      <w:r>
        <w:rPr>
          <w:rFonts w:ascii="標楷體" w:eastAsia="標楷體" w:hAnsi="標楷體" w:cs="標楷體"/>
          <w:sz w:val="32"/>
          <w:szCs w:val="32"/>
        </w:rPr>
        <w:t>候選人資格而未獲得博士學位，申請採認相當於碩士學位資格。</w:t>
      </w:r>
    </w:p>
    <w:p w:rsidR="00150CE3" w:rsidRDefault="008160CC">
      <w:pPr>
        <w:pStyle w:val="Standard"/>
        <w:widowControl w:val="0"/>
        <w:overflowPunct w:val="0"/>
        <w:spacing w:line="480" w:lineRule="exact"/>
        <w:ind w:left="2268" w:hanging="708"/>
        <w:jc w:val="both"/>
        <w:rPr>
          <w:rFonts w:ascii="標楷體" w:eastAsia="標楷體" w:hAnsi="標楷體" w:cs="標楷體"/>
          <w:sz w:val="32"/>
          <w:szCs w:val="32"/>
        </w:rPr>
      </w:pPr>
      <w:r>
        <w:rPr>
          <w:rFonts w:ascii="標楷體" w:eastAsia="標楷體" w:hAnsi="標楷體" w:cs="標楷體"/>
          <w:sz w:val="32"/>
          <w:szCs w:val="32"/>
        </w:rPr>
        <w:t>四、未經註冊入學及修業，僅以論文著作取得博士學位。</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五、</w:t>
      </w:r>
      <w:r>
        <w:rPr>
          <w:rFonts w:ascii="標楷體" w:eastAsia="標楷體" w:hAnsi="標楷體" w:cs="標楷體"/>
          <w:color w:val="000000"/>
          <w:sz w:val="32"/>
          <w:szCs w:val="32"/>
        </w:rPr>
        <w:t>名（榮）譽博士學位</w:t>
      </w:r>
      <w:r>
        <w:rPr>
          <w:rFonts w:ascii="標楷體" w:eastAsia="標楷體" w:hAnsi="標楷體" w:cs="標楷體"/>
          <w:sz w:val="32"/>
          <w:szCs w:val="32"/>
        </w:rPr>
        <w:t>。</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六、在香港或</w:t>
      </w:r>
      <w:r>
        <w:rPr>
          <w:rFonts w:ascii="標楷體" w:eastAsia="標楷體" w:hAnsi="標楷體" w:cs="標楷體"/>
          <w:color w:val="000000"/>
          <w:sz w:val="32"/>
          <w:szCs w:val="32"/>
        </w:rPr>
        <w:t>澳門</w:t>
      </w:r>
      <w:r>
        <w:rPr>
          <w:rFonts w:ascii="標楷體" w:eastAsia="標楷體" w:hAnsi="標楷體" w:cs="標楷體"/>
          <w:sz w:val="32"/>
          <w:szCs w:val="32"/>
        </w:rPr>
        <w:t>以外地區設立之分校就讀。</w:t>
      </w:r>
    </w:p>
    <w:p w:rsidR="00150CE3" w:rsidRDefault="008160CC">
      <w:pPr>
        <w:pStyle w:val="Standard"/>
        <w:widowControl w:val="0"/>
        <w:overflowPunct w:val="0"/>
        <w:spacing w:line="480" w:lineRule="exact"/>
        <w:ind w:left="2268" w:hanging="708"/>
        <w:jc w:val="both"/>
      </w:pPr>
      <w:r>
        <w:rPr>
          <w:rFonts w:ascii="標楷體" w:eastAsia="標楷體" w:hAnsi="標楷體" w:cs="標楷體"/>
          <w:sz w:val="32"/>
          <w:szCs w:val="32"/>
        </w:rPr>
        <w:t>七、以遠距教學</w:t>
      </w:r>
      <w:r>
        <w:rPr>
          <w:rFonts w:ascii="標楷體" w:eastAsia="標楷體" w:hAnsi="標楷體" w:cs="標楷體"/>
          <w:color w:val="000000"/>
          <w:sz w:val="32"/>
          <w:szCs w:val="32"/>
        </w:rPr>
        <w:t>方式</w:t>
      </w:r>
      <w:r>
        <w:rPr>
          <w:rFonts w:ascii="標楷體" w:eastAsia="標楷體" w:hAnsi="標楷體" w:cs="標楷體"/>
          <w:sz w:val="32"/>
          <w:szCs w:val="32"/>
        </w:rPr>
        <w:t>取得之學歷不符合國內遠距教學之規定，或遠距教學課程學分數，超過畢業總學分數之二分之一。</w:t>
      </w:r>
    </w:p>
    <w:p w:rsidR="00150CE3" w:rsidRDefault="008160CC">
      <w:pPr>
        <w:pStyle w:val="Standard"/>
        <w:overflowPunct w:val="0"/>
        <w:spacing w:line="480" w:lineRule="exact"/>
        <w:ind w:left="992" w:hanging="992"/>
        <w:jc w:val="both"/>
      </w:pPr>
      <w:r>
        <w:rPr>
          <w:rFonts w:ascii="標楷體" w:eastAsia="標楷體" w:hAnsi="標楷體" w:cs="標楷體"/>
          <w:sz w:val="32"/>
          <w:szCs w:val="32"/>
        </w:rPr>
        <w:t>第八條　　學校辦理香港或澳門學歷之採認發生困難時，得函請主管教育行政機關認定，必要時並得由主管教育行政機關舉行甄試。甄試</w:t>
      </w:r>
      <w:r>
        <w:rPr>
          <w:rFonts w:ascii="標楷體" w:eastAsia="標楷體" w:hAnsi="標楷體" w:cs="標楷體"/>
          <w:color w:val="000000"/>
          <w:sz w:val="32"/>
          <w:szCs w:val="32"/>
        </w:rPr>
        <w:t>合格者</w:t>
      </w:r>
      <w:r>
        <w:rPr>
          <w:rFonts w:ascii="標楷體" w:eastAsia="標楷體" w:hAnsi="標楷體" w:cs="標楷體"/>
          <w:sz w:val="32"/>
          <w:szCs w:val="32"/>
        </w:rPr>
        <w:t>，始予採認。</w:t>
      </w:r>
    </w:p>
    <w:p w:rsidR="00150CE3" w:rsidRDefault="008160CC">
      <w:pPr>
        <w:pStyle w:val="Standard"/>
        <w:widowControl w:val="0"/>
        <w:overflowPunct w:val="0"/>
        <w:spacing w:line="480" w:lineRule="exact"/>
        <w:ind w:left="991" w:firstLine="707"/>
        <w:jc w:val="both"/>
        <w:rPr>
          <w:rFonts w:ascii="標楷體" w:eastAsia="標楷體" w:hAnsi="標楷體" w:cs="標楷體"/>
          <w:sz w:val="32"/>
          <w:szCs w:val="32"/>
        </w:rPr>
      </w:pPr>
      <w:r>
        <w:rPr>
          <w:rFonts w:ascii="標楷體" w:eastAsia="標楷體" w:hAnsi="標楷體" w:cs="標楷體"/>
          <w:sz w:val="32"/>
          <w:szCs w:val="32"/>
        </w:rPr>
        <w:t>前項所稱主管教育行政機關，專科以上學校為本部，中等以下學校為地方主管教育行政機關。</w:t>
      </w:r>
    </w:p>
    <w:p w:rsidR="00150CE3" w:rsidRDefault="008160CC">
      <w:pPr>
        <w:pStyle w:val="Standard"/>
        <w:overflowPunct w:val="0"/>
        <w:spacing w:line="480" w:lineRule="exact"/>
        <w:ind w:left="992" w:hanging="992"/>
        <w:jc w:val="both"/>
      </w:pPr>
      <w:r>
        <w:rPr>
          <w:rFonts w:ascii="標楷體" w:eastAsia="標楷體" w:hAnsi="標楷體" w:cs="細明體, MingLiU"/>
          <w:color w:val="000000"/>
          <w:sz w:val="32"/>
          <w:szCs w:val="32"/>
          <w:lang w:val="zh-TW"/>
        </w:rPr>
        <w:t>第九</w:t>
      </w:r>
      <w:r>
        <w:rPr>
          <w:rFonts w:ascii="標楷體" w:eastAsia="標楷體" w:hAnsi="標楷體" w:cs="細明體, MingLiU"/>
          <w:color w:val="000000"/>
          <w:sz w:val="32"/>
          <w:szCs w:val="32"/>
          <w:lang w:val="zh-TW"/>
        </w:rPr>
        <w:t xml:space="preserve">條　　</w:t>
      </w:r>
      <w:r>
        <w:rPr>
          <w:rFonts w:ascii="標楷體" w:eastAsia="標楷體" w:hAnsi="標楷體" w:cs="標楷體"/>
          <w:sz w:val="32"/>
          <w:szCs w:val="32"/>
        </w:rPr>
        <w:t>在臺灣地區立案之香港或澳門私立學校學歷依臺灣地區同級同類學校規定辦理。</w:t>
      </w:r>
    </w:p>
    <w:p w:rsidR="00150CE3" w:rsidRDefault="008160CC">
      <w:pPr>
        <w:pStyle w:val="Standard"/>
        <w:overflowPunct w:val="0"/>
        <w:spacing w:line="480" w:lineRule="exact"/>
        <w:ind w:left="992" w:hanging="992"/>
        <w:jc w:val="both"/>
      </w:pPr>
      <w:r>
        <w:rPr>
          <w:rFonts w:ascii="標楷體" w:eastAsia="標楷體" w:hAnsi="標楷體" w:cs="細明體, MingLiU"/>
          <w:color w:val="000000"/>
          <w:sz w:val="32"/>
          <w:szCs w:val="32"/>
          <w:lang w:val="zh-TW"/>
        </w:rPr>
        <w:t xml:space="preserve">第十條　　</w:t>
      </w:r>
      <w:r>
        <w:rPr>
          <w:rFonts w:ascii="標楷體" w:eastAsia="標楷體" w:hAnsi="標楷體" w:cs="標楷體"/>
          <w:color w:val="000000"/>
          <w:sz w:val="32"/>
          <w:szCs w:val="32"/>
        </w:rPr>
        <w:t>香港或澳門中等以下學校學歷之檢覈及採認，除本辦法之規定外，得由地方主管教育行政機關訂定補充規定。</w:t>
      </w:r>
    </w:p>
    <w:p w:rsidR="00150CE3" w:rsidRDefault="008160CC">
      <w:pPr>
        <w:pStyle w:val="Standard"/>
        <w:widowControl w:val="0"/>
        <w:overflowPunct w:val="0"/>
        <w:spacing w:line="480" w:lineRule="exact"/>
        <w:ind w:left="991" w:firstLine="707"/>
        <w:jc w:val="both"/>
        <w:rPr>
          <w:rFonts w:ascii="標楷體" w:eastAsia="標楷體" w:hAnsi="標楷體" w:cs="標楷體"/>
          <w:color w:val="000000"/>
          <w:sz w:val="32"/>
          <w:szCs w:val="32"/>
        </w:rPr>
      </w:pPr>
      <w:r>
        <w:rPr>
          <w:rFonts w:ascii="標楷體" w:eastAsia="標楷體" w:hAnsi="標楷體" w:cs="標楷體"/>
          <w:color w:val="000000"/>
          <w:sz w:val="32"/>
          <w:szCs w:val="32"/>
        </w:rPr>
        <w:t>國內各用人或考試機構採認香港澳門學歷者，得由各該主管機關參照本辦法規定辦理。</w:t>
      </w:r>
    </w:p>
    <w:p w:rsidR="00150CE3" w:rsidRDefault="008160CC">
      <w:pPr>
        <w:pStyle w:val="Standard"/>
        <w:widowControl w:val="0"/>
        <w:overflowPunct w:val="0"/>
        <w:spacing w:line="480" w:lineRule="exact"/>
        <w:jc w:val="both"/>
        <w:rPr>
          <w:rFonts w:ascii="標楷體" w:eastAsia="標楷體" w:hAnsi="標楷體" w:cs="標楷體"/>
          <w:sz w:val="32"/>
          <w:szCs w:val="32"/>
        </w:rPr>
      </w:pPr>
      <w:r>
        <w:rPr>
          <w:rFonts w:ascii="標楷體" w:eastAsia="標楷體" w:hAnsi="標楷體" w:cs="標楷體"/>
          <w:color w:val="000000"/>
          <w:sz w:val="32"/>
          <w:szCs w:val="32"/>
        </w:rPr>
        <w:t>第十一條　本辦法自發布日施行。</w:t>
      </w:r>
    </w:p>
    <w:sectPr w:rsidR="00150CE3">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CC" w:rsidRDefault="008160CC">
      <w:pPr>
        <w:rPr>
          <w:rFonts w:hint="eastAsia"/>
        </w:rPr>
      </w:pPr>
      <w:r>
        <w:separator/>
      </w:r>
    </w:p>
  </w:endnote>
  <w:endnote w:type="continuationSeparator" w:id="0">
    <w:p w:rsidR="008160CC" w:rsidRDefault="008160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CC" w:rsidRDefault="008160CC">
      <w:pPr>
        <w:rPr>
          <w:rFonts w:hint="eastAsia"/>
        </w:rPr>
      </w:pPr>
      <w:r>
        <w:rPr>
          <w:color w:val="000000"/>
        </w:rPr>
        <w:separator/>
      </w:r>
    </w:p>
  </w:footnote>
  <w:footnote w:type="continuationSeparator" w:id="0">
    <w:p w:rsidR="008160CC" w:rsidRDefault="008160C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A24"/>
    <w:multiLevelType w:val="multilevel"/>
    <w:tmpl w:val="01FED702"/>
    <w:styleLink w:val="WW8Num7"/>
    <w:lvl w:ilvl="0">
      <w:start w:val="1"/>
      <w:numFmt w:val="japaneseCounting"/>
      <w:suff w:val="noth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DF426C"/>
    <w:multiLevelType w:val="multilevel"/>
    <w:tmpl w:val="E25472CA"/>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DD26C6A"/>
    <w:multiLevelType w:val="multilevel"/>
    <w:tmpl w:val="B950C8EA"/>
    <w:styleLink w:val="WW8Num4"/>
    <w:lvl w:ilvl="0">
      <w:start w:val="4"/>
      <w:numFmt w:val="japaneseCounting"/>
      <w:suff w:val="nothing"/>
      <w:lvlText w:val="%1、"/>
      <w:lvlJc w:val="left"/>
      <w:pPr>
        <w:ind w:left="425" w:hanging="284"/>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7A5F38"/>
    <w:multiLevelType w:val="multilevel"/>
    <w:tmpl w:val="40E4E3F6"/>
    <w:styleLink w:val="WW8Num31"/>
    <w:lvl w:ilvl="0">
      <w:start w:val="1"/>
      <w:numFmt w:val="japaneseCounting"/>
      <w:suff w:val="nothing"/>
      <w:lvlText w:val="（%1）"/>
      <w:lvlJc w:val="left"/>
      <w:pPr>
        <w:ind w:left="905" w:hanging="480"/>
      </w:pPr>
      <w:rPr>
        <w:b w:val="0"/>
        <w:i w:val="0"/>
        <w:sz w:val="24"/>
        <w:lang w:val="en-US"/>
      </w:rPr>
    </w:lvl>
    <w:lvl w:ilvl="1">
      <w:start w:val="1"/>
      <w:numFmt w:val="ideographTraditional"/>
      <w:lvlText w:val="%2、"/>
      <w:lvlJc w:val="left"/>
      <w:pPr>
        <w:ind w:left="1327" w:hanging="480"/>
      </w:pPr>
    </w:lvl>
    <w:lvl w:ilvl="2">
      <w:start w:val="1"/>
      <w:numFmt w:val="lowerRoman"/>
      <w:lvlText w:val="%3."/>
      <w:lvlJc w:val="right"/>
      <w:pPr>
        <w:ind w:left="1807" w:hanging="480"/>
      </w:pPr>
    </w:lvl>
    <w:lvl w:ilvl="3">
      <w:start w:val="1"/>
      <w:numFmt w:val="decimal"/>
      <w:lvlText w:val="%4."/>
      <w:lvlJc w:val="left"/>
      <w:pPr>
        <w:ind w:left="2287" w:hanging="480"/>
      </w:pPr>
    </w:lvl>
    <w:lvl w:ilvl="4">
      <w:start w:val="1"/>
      <w:numFmt w:val="ideographTraditional"/>
      <w:lvlText w:val="%5、"/>
      <w:lvlJc w:val="left"/>
      <w:pPr>
        <w:ind w:left="2767" w:hanging="480"/>
      </w:pPr>
    </w:lvl>
    <w:lvl w:ilvl="5">
      <w:start w:val="1"/>
      <w:numFmt w:val="lowerRoman"/>
      <w:lvlText w:val="%6."/>
      <w:lvlJc w:val="right"/>
      <w:pPr>
        <w:ind w:left="3247" w:hanging="480"/>
      </w:pPr>
    </w:lvl>
    <w:lvl w:ilvl="6">
      <w:start w:val="1"/>
      <w:numFmt w:val="decimal"/>
      <w:lvlText w:val="%7."/>
      <w:lvlJc w:val="left"/>
      <w:pPr>
        <w:ind w:left="3727" w:hanging="480"/>
      </w:pPr>
    </w:lvl>
    <w:lvl w:ilvl="7">
      <w:start w:val="1"/>
      <w:numFmt w:val="ideographTraditional"/>
      <w:lvlText w:val="%8、"/>
      <w:lvlJc w:val="left"/>
      <w:pPr>
        <w:ind w:left="4207" w:hanging="480"/>
      </w:pPr>
    </w:lvl>
    <w:lvl w:ilvl="8">
      <w:start w:val="1"/>
      <w:numFmt w:val="lowerRoman"/>
      <w:lvlText w:val="%9."/>
      <w:lvlJc w:val="right"/>
      <w:pPr>
        <w:ind w:left="4687" w:hanging="480"/>
      </w:pPr>
    </w:lvl>
  </w:abstractNum>
  <w:abstractNum w:abstractNumId="4" w15:restartNumberingAfterBreak="0">
    <w:nsid w:val="13FD0CC9"/>
    <w:multiLevelType w:val="multilevel"/>
    <w:tmpl w:val="722CA178"/>
    <w:styleLink w:val="WW8Num3"/>
    <w:lvl w:ilvl="0">
      <w:start w:val="1"/>
      <w:numFmt w:val="japaneseCounting"/>
      <w:suff w:val="nothing"/>
      <w:lvlText w:val="%1、"/>
      <w:lvlJc w:val="left"/>
      <w:pPr>
        <w:ind w:left="510" w:hanging="284"/>
      </w:pPr>
      <w:rPr>
        <w:color w:val="000000"/>
        <w:u w:val="single"/>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5" w15:restartNumberingAfterBreak="0">
    <w:nsid w:val="18E119A7"/>
    <w:multiLevelType w:val="multilevel"/>
    <w:tmpl w:val="C20E1984"/>
    <w:styleLink w:val="WW8Num5"/>
    <w:lvl w:ilvl="0">
      <w:start w:val="1"/>
      <w:numFmt w:val="japaneseCounting"/>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DB10D8"/>
    <w:multiLevelType w:val="multilevel"/>
    <w:tmpl w:val="C0DC48F0"/>
    <w:styleLink w:val="WW8Num14"/>
    <w:lvl w:ilvl="0">
      <w:start w:val="1"/>
      <w:numFmt w:val="japaneseCounting"/>
      <w:suff w:val="nothing"/>
      <w:lvlText w:val="%1、"/>
      <w:lvlJc w:val="left"/>
      <w:pPr>
        <w:ind w:left="510" w:hanging="284"/>
      </w:pPr>
      <w:rPr>
        <w:color w:val="000000"/>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7" w15:restartNumberingAfterBreak="0">
    <w:nsid w:val="23BC2774"/>
    <w:multiLevelType w:val="multilevel"/>
    <w:tmpl w:val="9E5A58DE"/>
    <w:styleLink w:val="WW8Num10"/>
    <w:lvl w:ilvl="0">
      <w:start w:val="1"/>
      <w:numFmt w:val="japaneseCounting"/>
      <w:suff w:val="nothing"/>
      <w:lvlText w:val="%1、"/>
      <w:lvlJc w:val="left"/>
      <w:pPr>
        <w:ind w:left="480" w:hanging="480"/>
      </w:pPr>
    </w:lvl>
    <w:lvl w:ilvl="1">
      <w:start w:val="1"/>
      <w:numFmt w:val="japaneseCounting"/>
      <w:suff w:val="nothing"/>
      <w:lvlText w:val="（%2）"/>
      <w:lvlJc w:val="left"/>
      <w:pPr>
        <w:ind w:left="1790" w:hanging="1080"/>
      </w:pPr>
    </w:lvl>
    <w:lvl w:ilvl="2">
      <w:start w:val="1"/>
      <w:numFmt w:val="decimal"/>
      <w:suff w:val="nothing"/>
      <w:lvlText w:val="%3."/>
      <w:lvlJc w:val="left"/>
      <w:pPr>
        <w:ind w:left="1070" w:hanging="360"/>
      </w:pPr>
    </w:lvl>
    <w:lvl w:ilvl="3">
      <w:start w:val="1"/>
      <w:numFmt w:val="lowerLetter"/>
      <w:lvlText w:val="(%4)"/>
      <w:lvlJc w:val="left"/>
      <w:pPr>
        <w:ind w:left="2160" w:hanging="720"/>
      </w:pPr>
    </w:lvl>
    <w:lvl w:ilvl="4">
      <w:start w:val="1"/>
      <w:numFmt w:val="decimal"/>
      <w:suff w:val="nothing"/>
      <w:lvlText w:val="(%5)"/>
      <w:lvlJc w:val="left"/>
      <w:pPr>
        <w:ind w:left="1997" w:hanging="720"/>
      </w:pPr>
      <w:rPr>
        <w:rFonts w:ascii="標楷體" w:eastAsia="標楷體" w:hAnsi="標楷體" w:cs="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44F1103"/>
    <w:multiLevelType w:val="multilevel"/>
    <w:tmpl w:val="8E8C0BD0"/>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776058A"/>
    <w:multiLevelType w:val="multilevel"/>
    <w:tmpl w:val="4DDA2B30"/>
    <w:styleLink w:val="WW8Num9"/>
    <w:lvl w:ilvl="0">
      <w:start w:val="1"/>
      <w:numFmt w:val="japaneseCounting"/>
      <w:suff w:val="nothing"/>
      <w:lvlText w:val="%1、"/>
      <w:lvlJc w:val="left"/>
      <w:pPr>
        <w:ind w:left="284" w:hanging="284"/>
      </w:pPr>
      <w:rPr>
        <w:color w:val="000000"/>
      </w:rPr>
    </w:lvl>
    <w:lvl w:ilvl="1">
      <w:start w:val="1"/>
      <w:numFmt w:val="ideographTraditional"/>
      <w:lvlText w:val="%2、"/>
      <w:lvlJc w:val="left"/>
      <w:pPr>
        <w:ind w:left="1186" w:hanging="480"/>
      </w:pPr>
    </w:lvl>
    <w:lvl w:ilvl="2">
      <w:start w:val="1"/>
      <w:numFmt w:val="lowerRoman"/>
      <w:lvlText w:val="%3."/>
      <w:lvlJc w:val="right"/>
      <w:pPr>
        <w:ind w:left="1666" w:hanging="480"/>
      </w:pPr>
    </w:lvl>
    <w:lvl w:ilvl="3">
      <w:start w:val="1"/>
      <w:numFmt w:val="decimal"/>
      <w:lvlText w:val="%4."/>
      <w:lvlJc w:val="left"/>
      <w:pPr>
        <w:ind w:left="2146" w:hanging="480"/>
      </w:pPr>
    </w:lvl>
    <w:lvl w:ilvl="4">
      <w:start w:val="1"/>
      <w:numFmt w:val="ideographTraditional"/>
      <w:lvlText w:val="%5、"/>
      <w:lvlJc w:val="left"/>
      <w:pPr>
        <w:ind w:left="2626" w:hanging="480"/>
      </w:pPr>
    </w:lvl>
    <w:lvl w:ilvl="5">
      <w:start w:val="1"/>
      <w:numFmt w:val="lowerRoman"/>
      <w:lvlText w:val="%6."/>
      <w:lvlJc w:val="right"/>
      <w:pPr>
        <w:ind w:left="3106" w:hanging="480"/>
      </w:pPr>
    </w:lvl>
    <w:lvl w:ilvl="6">
      <w:start w:val="1"/>
      <w:numFmt w:val="decimal"/>
      <w:lvlText w:val="%7."/>
      <w:lvlJc w:val="left"/>
      <w:pPr>
        <w:ind w:left="3586" w:hanging="480"/>
      </w:pPr>
    </w:lvl>
    <w:lvl w:ilvl="7">
      <w:start w:val="1"/>
      <w:numFmt w:val="ideographTraditional"/>
      <w:lvlText w:val="%8、"/>
      <w:lvlJc w:val="left"/>
      <w:pPr>
        <w:ind w:left="4066" w:hanging="480"/>
      </w:pPr>
    </w:lvl>
    <w:lvl w:ilvl="8">
      <w:start w:val="1"/>
      <w:numFmt w:val="lowerRoman"/>
      <w:lvlText w:val="%9."/>
      <w:lvlJc w:val="right"/>
      <w:pPr>
        <w:ind w:left="4546" w:hanging="480"/>
      </w:pPr>
    </w:lvl>
  </w:abstractNum>
  <w:abstractNum w:abstractNumId="10" w15:restartNumberingAfterBreak="0">
    <w:nsid w:val="295321C7"/>
    <w:multiLevelType w:val="multilevel"/>
    <w:tmpl w:val="FB3A8A56"/>
    <w:styleLink w:val="WW8Num23"/>
    <w:lvl w:ilvl="0">
      <w:start w:val="1"/>
      <w:numFmt w:val="japaneseCounting"/>
      <w:lvlText w:val="%1、"/>
      <w:lvlJc w:val="left"/>
      <w:pPr>
        <w:ind w:left="600" w:hanging="480"/>
      </w:pPr>
      <w:rPr>
        <w:u w:val="single"/>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1" w15:restartNumberingAfterBreak="0">
    <w:nsid w:val="2D072080"/>
    <w:multiLevelType w:val="multilevel"/>
    <w:tmpl w:val="F6269DB8"/>
    <w:styleLink w:val="WW8Num6"/>
    <w:lvl w:ilvl="0">
      <w:start w:val="1"/>
      <w:numFmt w:val="japaneseCounting"/>
      <w:suff w:val="nothing"/>
      <w:lvlText w:val="（%1）"/>
      <w:lvlJc w:val="left"/>
      <w:pPr>
        <w:ind w:left="2238" w:hanging="480"/>
      </w:pPr>
      <w:rPr>
        <w:b w:val="0"/>
        <w:i w:val="0"/>
        <w:sz w:val="24"/>
        <w:lang w:val="en-US"/>
      </w:rPr>
    </w:lvl>
    <w:lvl w:ilvl="1">
      <w:start w:val="1"/>
      <w:numFmt w:val="ideographTraditional"/>
      <w:lvlText w:val="%2、"/>
      <w:lvlJc w:val="left"/>
      <w:pPr>
        <w:ind w:left="2660" w:hanging="480"/>
      </w:pPr>
    </w:lvl>
    <w:lvl w:ilvl="2">
      <w:start w:val="1"/>
      <w:numFmt w:val="lowerRoman"/>
      <w:lvlText w:val="%3."/>
      <w:lvlJc w:val="right"/>
      <w:pPr>
        <w:ind w:left="3140" w:hanging="480"/>
      </w:pPr>
    </w:lvl>
    <w:lvl w:ilvl="3">
      <w:start w:val="1"/>
      <w:numFmt w:val="decimal"/>
      <w:lvlText w:val="%4."/>
      <w:lvlJc w:val="left"/>
      <w:pPr>
        <w:ind w:left="3620" w:hanging="480"/>
      </w:pPr>
    </w:lvl>
    <w:lvl w:ilvl="4">
      <w:start w:val="1"/>
      <w:numFmt w:val="ideographTraditional"/>
      <w:lvlText w:val="%5、"/>
      <w:lvlJc w:val="left"/>
      <w:pPr>
        <w:ind w:left="4100" w:hanging="480"/>
      </w:pPr>
    </w:lvl>
    <w:lvl w:ilvl="5">
      <w:start w:val="1"/>
      <w:numFmt w:val="lowerRoman"/>
      <w:lvlText w:val="%6."/>
      <w:lvlJc w:val="right"/>
      <w:pPr>
        <w:ind w:left="4580" w:hanging="480"/>
      </w:pPr>
    </w:lvl>
    <w:lvl w:ilvl="6">
      <w:start w:val="1"/>
      <w:numFmt w:val="decimal"/>
      <w:lvlText w:val="%7."/>
      <w:lvlJc w:val="left"/>
      <w:pPr>
        <w:ind w:left="5060" w:hanging="480"/>
      </w:pPr>
    </w:lvl>
    <w:lvl w:ilvl="7">
      <w:start w:val="1"/>
      <w:numFmt w:val="ideographTraditional"/>
      <w:lvlText w:val="%8、"/>
      <w:lvlJc w:val="left"/>
      <w:pPr>
        <w:ind w:left="5540" w:hanging="480"/>
      </w:pPr>
    </w:lvl>
    <w:lvl w:ilvl="8">
      <w:start w:val="1"/>
      <w:numFmt w:val="lowerRoman"/>
      <w:lvlText w:val="%9."/>
      <w:lvlJc w:val="right"/>
      <w:pPr>
        <w:ind w:left="6020" w:hanging="480"/>
      </w:pPr>
    </w:lvl>
  </w:abstractNum>
  <w:abstractNum w:abstractNumId="12" w15:restartNumberingAfterBreak="0">
    <w:nsid w:val="34433388"/>
    <w:multiLevelType w:val="multilevel"/>
    <w:tmpl w:val="44C23110"/>
    <w:styleLink w:val="WW8Num16"/>
    <w:lvl w:ilvl="0">
      <w:start w:val="1"/>
      <w:numFmt w:val="decimal"/>
      <w:lvlText w:val="%1."/>
      <w:lvlJc w:val="left"/>
      <w:pPr>
        <w:ind w:left="2746" w:hanging="480"/>
      </w:pPr>
    </w:lvl>
    <w:lvl w:ilvl="1">
      <w:start w:val="1"/>
      <w:numFmt w:val="decimal"/>
      <w:lvlText w:val="%2."/>
      <w:lvlJc w:val="left"/>
      <w:pPr>
        <w:ind w:left="1331" w:hanging="480"/>
      </w:pPr>
    </w:lvl>
    <w:lvl w:ilvl="2">
      <w:start w:val="1"/>
      <w:numFmt w:val="decimal"/>
      <w:suff w:val="nothing"/>
      <w:lvlText w:val="(%3)"/>
      <w:lvlJc w:val="left"/>
      <w:pPr>
        <w:ind w:left="2138" w:hanging="72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3" w15:restartNumberingAfterBreak="0">
    <w:nsid w:val="35082EC8"/>
    <w:multiLevelType w:val="multilevel"/>
    <w:tmpl w:val="BE44D398"/>
    <w:styleLink w:val="WW8Num2"/>
    <w:lvl w:ilvl="0">
      <w:start w:val="1"/>
      <w:numFmt w:val="japaneseCounting"/>
      <w:lvlText w:val="%1、"/>
      <w:lvlJc w:val="left"/>
      <w:pPr>
        <w:ind w:left="684" w:hanging="480"/>
      </w:pPr>
      <w:rPr>
        <w:u w:val="single"/>
      </w:rPr>
    </w:lvl>
    <w:lvl w:ilvl="1">
      <w:start w:val="1"/>
      <w:numFmt w:val="ideographTraditional"/>
      <w:lvlText w:val="%2、"/>
      <w:lvlJc w:val="left"/>
      <w:pPr>
        <w:ind w:left="1164" w:hanging="480"/>
      </w:pPr>
    </w:lvl>
    <w:lvl w:ilvl="2">
      <w:start w:val="1"/>
      <w:numFmt w:val="lowerRoman"/>
      <w:lvlText w:val="%3."/>
      <w:lvlJc w:val="right"/>
      <w:pPr>
        <w:ind w:left="1644" w:hanging="480"/>
      </w:pPr>
    </w:lvl>
    <w:lvl w:ilvl="3">
      <w:start w:val="1"/>
      <w:numFmt w:val="decimal"/>
      <w:lvlText w:val="%4."/>
      <w:lvlJc w:val="left"/>
      <w:pPr>
        <w:ind w:left="2124" w:hanging="480"/>
      </w:pPr>
    </w:lvl>
    <w:lvl w:ilvl="4">
      <w:start w:val="1"/>
      <w:numFmt w:val="ideographTraditional"/>
      <w:lvlText w:val="%5、"/>
      <w:lvlJc w:val="left"/>
      <w:pPr>
        <w:ind w:left="2604" w:hanging="480"/>
      </w:pPr>
    </w:lvl>
    <w:lvl w:ilvl="5">
      <w:start w:val="1"/>
      <w:numFmt w:val="lowerRoman"/>
      <w:lvlText w:val="%6."/>
      <w:lvlJc w:val="right"/>
      <w:pPr>
        <w:ind w:left="3084" w:hanging="480"/>
      </w:pPr>
    </w:lvl>
    <w:lvl w:ilvl="6">
      <w:start w:val="1"/>
      <w:numFmt w:val="decimal"/>
      <w:lvlText w:val="%7."/>
      <w:lvlJc w:val="left"/>
      <w:pPr>
        <w:ind w:left="3564" w:hanging="480"/>
      </w:pPr>
    </w:lvl>
    <w:lvl w:ilvl="7">
      <w:start w:val="1"/>
      <w:numFmt w:val="ideographTraditional"/>
      <w:lvlText w:val="%8、"/>
      <w:lvlJc w:val="left"/>
      <w:pPr>
        <w:ind w:left="4044" w:hanging="480"/>
      </w:pPr>
    </w:lvl>
    <w:lvl w:ilvl="8">
      <w:start w:val="1"/>
      <w:numFmt w:val="lowerRoman"/>
      <w:lvlText w:val="%9."/>
      <w:lvlJc w:val="right"/>
      <w:pPr>
        <w:ind w:left="4524" w:hanging="480"/>
      </w:pPr>
    </w:lvl>
  </w:abstractNum>
  <w:abstractNum w:abstractNumId="14" w15:restartNumberingAfterBreak="0">
    <w:nsid w:val="46A61735"/>
    <w:multiLevelType w:val="multilevel"/>
    <w:tmpl w:val="09428A12"/>
    <w:styleLink w:val="WW8Num15"/>
    <w:lvl w:ilvl="0">
      <w:start w:val="1"/>
      <w:numFmt w:val="japaneseCounting"/>
      <w:suff w:val="nothing"/>
      <w:lvlText w:val="%1、"/>
      <w:lvlJc w:val="left"/>
      <w:pPr>
        <w:ind w:left="510" w:hanging="284"/>
      </w:pPr>
      <w:rPr>
        <w:color w:val="000000"/>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15" w15:restartNumberingAfterBreak="0">
    <w:nsid w:val="4A281A78"/>
    <w:multiLevelType w:val="multilevel"/>
    <w:tmpl w:val="2CB225D4"/>
    <w:styleLink w:val="WW8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A59760E"/>
    <w:multiLevelType w:val="multilevel"/>
    <w:tmpl w:val="B1C43842"/>
    <w:styleLink w:val="WW8Num24"/>
    <w:lvl w:ilvl="0">
      <w:start w:val="1"/>
      <w:numFmt w:val="japaneseCounting"/>
      <w:lvlText w:val="第%1條"/>
      <w:lvlJc w:val="left"/>
      <w:pPr>
        <w:ind w:left="1608" w:hanging="160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A3025F"/>
    <w:multiLevelType w:val="multilevel"/>
    <w:tmpl w:val="329C18CC"/>
    <w:styleLink w:val="WW8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B485CAE"/>
    <w:multiLevelType w:val="multilevel"/>
    <w:tmpl w:val="7C9831C6"/>
    <w:styleLink w:val="WW8Num29"/>
    <w:lvl w:ilvl="0">
      <w:start w:val="1"/>
      <w:numFmt w:val="japaneseCounting"/>
      <w:lvlText w:val="%1、"/>
      <w:lvlJc w:val="left"/>
      <w:pPr>
        <w:ind w:left="653" w:hanging="480"/>
      </w:pPr>
      <w:rPr>
        <w:rFonts w:ascii="標楷體" w:eastAsia="標楷體" w:hAnsi="標楷體" w:cs="Times New Roman"/>
        <w:u w:val="single"/>
      </w:rPr>
    </w:lvl>
    <w:lvl w:ilvl="1">
      <w:start w:val="1"/>
      <w:numFmt w:val="ideographTraditional"/>
      <w:lvlText w:val="%2、"/>
      <w:lvlJc w:val="left"/>
      <w:pPr>
        <w:ind w:left="1133" w:hanging="480"/>
      </w:pPr>
    </w:lvl>
    <w:lvl w:ilvl="2">
      <w:start w:val="1"/>
      <w:numFmt w:val="lowerRoman"/>
      <w:lvlText w:val="%3."/>
      <w:lvlJc w:val="right"/>
      <w:pPr>
        <w:ind w:left="1613" w:hanging="480"/>
      </w:pPr>
    </w:lvl>
    <w:lvl w:ilvl="3">
      <w:start w:val="1"/>
      <w:numFmt w:val="decimal"/>
      <w:lvlText w:val="%4."/>
      <w:lvlJc w:val="left"/>
      <w:pPr>
        <w:ind w:left="2093" w:hanging="480"/>
      </w:pPr>
    </w:lvl>
    <w:lvl w:ilvl="4">
      <w:start w:val="1"/>
      <w:numFmt w:val="ideographTraditional"/>
      <w:lvlText w:val="%5、"/>
      <w:lvlJc w:val="left"/>
      <w:pPr>
        <w:ind w:left="2573" w:hanging="480"/>
      </w:pPr>
    </w:lvl>
    <w:lvl w:ilvl="5">
      <w:start w:val="1"/>
      <w:numFmt w:val="lowerRoman"/>
      <w:lvlText w:val="%6."/>
      <w:lvlJc w:val="right"/>
      <w:pPr>
        <w:ind w:left="3053" w:hanging="480"/>
      </w:pPr>
    </w:lvl>
    <w:lvl w:ilvl="6">
      <w:start w:val="1"/>
      <w:numFmt w:val="decimal"/>
      <w:lvlText w:val="%7."/>
      <w:lvlJc w:val="left"/>
      <w:pPr>
        <w:ind w:left="3533" w:hanging="480"/>
      </w:pPr>
    </w:lvl>
    <w:lvl w:ilvl="7">
      <w:start w:val="1"/>
      <w:numFmt w:val="ideographTraditional"/>
      <w:lvlText w:val="%8、"/>
      <w:lvlJc w:val="left"/>
      <w:pPr>
        <w:ind w:left="4013" w:hanging="480"/>
      </w:pPr>
    </w:lvl>
    <w:lvl w:ilvl="8">
      <w:start w:val="1"/>
      <w:numFmt w:val="lowerRoman"/>
      <w:lvlText w:val="%9."/>
      <w:lvlJc w:val="right"/>
      <w:pPr>
        <w:ind w:left="4493" w:hanging="480"/>
      </w:pPr>
    </w:lvl>
  </w:abstractNum>
  <w:abstractNum w:abstractNumId="19" w15:restartNumberingAfterBreak="0">
    <w:nsid w:val="4C1A4CBC"/>
    <w:multiLevelType w:val="multilevel"/>
    <w:tmpl w:val="3B60451C"/>
    <w:styleLink w:val="WW8Num11"/>
    <w:lvl w:ilvl="0">
      <w:start w:val="1"/>
      <w:numFmt w:val="japaneseCounting"/>
      <w:suff w:val="nothing"/>
      <w:lvlText w:val="%1、"/>
      <w:lvlJc w:val="left"/>
      <w:pPr>
        <w:ind w:left="510" w:hanging="284"/>
      </w:pPr>
      <w:rPr>
        <w:color w:val="000000"/>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20" w15:restartNumberingAfterBreak="0">
    <w:nsid w:val="4CF47153"/>
    <w:multiLevelType w:val="multilevel"/>
    <w:tmpl w:val="789A2B5C"/>
    <w:styleLink w:val="WW8Num18"/>
    <w:lvl w:ilvl="0">
      <w:start w:val="1"/>
      <w:numFmt w:val="japaneseCounting"/>
      <w:suff w:val="nothing"/>
      <w:lvlText w:val="%1、"/>
      <w:lvlJc w:val="left"/>
      <w:pPr>
        <w:ind w:left="510" w:hanging="284"/>
      </w:pPr>
      <w:rPr>
        <w:color w:val="000000"/>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21" w15:restartNumberingAfterBreak="0">
    <w:nsid w:val="51C77A75"/>
    <w:multiLevelType w:val="multilevel"/>
    <w:tmpl w:val="71C2A63A"/>
    <w:styleLink w:val="WW8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2A432D2"/>
    <w:multiLevelType w:val="multilevel"/>
    <w:tmpl w:val="B5F647B2"/>
    <w:styleLink w:val="WW8Num21"/>
    <w:lvl w:ilvl="0">
      <w:start w:val="1"/>
      <w:numFmt w:val="japaneseCounting"/>
      <w:suff w:val="nothing"/>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4F7804"/>
    <w:multiLevelType w:val="multilevel"/>
    <w:tmpl w:val="130AAF20"/>
    <w:styleLink w:val="WW8Num12"/>
    <w:lvl w:ilvl="0">
      <w:start w:val="1"/>
      <w:numFmt w:val="decimal"/>
      <w:suff w:val="noth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4" w15:restartNumberingAfterBreak="0">
    <w:nsid w:val="5CA6085A"/>
    <w:multiLevelType w:val="multilevel"/>
    <w:tmpl w:val="3F2A99E8"/>
    <w:styleLink w:val="WW8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1E966CD"/>
    <w:multiLevelType w:val="multilevel"/>
    <w:tmpl w:val="488471AA"/>
    <w:styleLink w:val="WW8Num30"/>
    <w:lvl w:ilvl="0">
      <w:start w:val="1"/>
      <w:numFmt w:val="japaneseCounting"/>
      <w:lvlText w:val="第%1條"/>
      <w:lvlJc w:val="left"/>
      <w:pPr>
        <w:ind w:left="1284" w:hanging="1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7560947"/>
    <w:multiLevelType w:val="multilevel"/>
    <w:tmpl w:val="4DC0184C"/>
    <w:styleLink w:val="WW8Num20"/>
    <w:lvl w:ilvl="0">
      <w:start w:val="1"/>
      <w:numFmt w:val="japaneseCounting"/>
      <w:suff w:val="nothing"/>
      <w:lvlText w:val="%1、"/>
      <w:lvlJc w:val="left"/>
      <w:pPr>
        <w:ind w:left="425" w:hanging="284"/>
      </w:pPr>
      <w:rPr>
        <w:color w:val="000000"/>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27" w15:restartNumberingAfterBreak="0">
    <w:nsid w:val="67AD1A28"/>
    <w:multiLevelType w:val="multilevel"/>
    <w:tmpl w:val="33AA47A4"/>
    <w:styleLink w:val="WW8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CFB2693"/>
    <w:multiLevelType w:val="multilevel"/>
    <w:tmpl w:val="039E41E4"/>
    <w:styleLink w:val="WW8Num13"/>
    <w:lvl w:ilvl="0">
      <w:start w:val="1"/>
      <w:numFmt w:val="japaneseCounting"/>
      <w:suff w:val="nothing"/>
      <w:lvlText w:val="%1、"/>
      <w:lvlJc w:val="left"/>
      <w:pPr>
        <w:ind w:left="510" w:hanging="284"/>
      </w:pPr>
      <w:rPr>
        <w:color w:val="000000"/>
      </w:rPr>
    </w:lvl>
    <w:lvl w:ilvl="1">
      <w:start w:val="1"/>
      <w:numFmt w:val="ideographTraditional"/>
      <w:lvlText w:val="%2、"/>
      <w:lvlJc w:val="left"/>
      <w:pPr>
        <w:ind w:left="1412" w:hanging="480"/>
      </w:pPr>
    </w:lvl>
    <w:lvl w:ilvl="2">
      <w:start w:val="1"/>
      <w:numFmt w:val="lowerRoman"/>
      <w:lvlText w:val="%3."/>
      <w:lvlJc w:val="right"/>
      <w:pPr>
        <w:ind w:left="1892" w:hanging="480"/>
      </w:pPr>
    </w:lvl>
    <w:lvl w:ilvl="3">
      <w:start w:val="1"/>
      <w:numFmt w:val="decimal"/>
      <w:lvlText w:val="%4."/>
      <w:lvlJc w:val="left"/>
      <w:pPr>
        <w:ind w:left="2372" w:hanging="480"/>
      </w:pPr>
    </w:lvl>
    <w:lvl w:ilvl="4">
      <w:start w:val="1"/>
      <w:numFmt w:val="ideographTraditional"/>
      <w:lvlText w:val="%5、"/>
      <w:lvlJc w:val="left"/>
      <w:pPr>
        <w:ind w:left="2852" w:hanging="480"/>
      </w:pPr>
    </w:lvl>
    <w:lvl w:ilvl="5">
      <w:start w:val="1"/>
      <w:numFmt w:val="lowerRoman"/>
      <w:lvlText w:val="%6."/>
      <w:lvlJc w:val="right"/>
      <w:pPr>
        <w:ind w:left="3332" w:hanging="480"/>
      </w:pPr>
    </w:lvl>
    <w:lvl w:ilvl="6">
      <w:start w:val="1"/>
      <w:numFmt w:val="decimal"/>
      <w:lvlText w:val="%7."/>
      <w:lvlJc w:val="left"/>
      <w:pPr>
        <w:ind w:left="3812" w:hanging="480"/>
      </w:pPr>
    </w:lvl>
    <w:lvl w:ilvl="7">
      <w:start w:val="1"/>
      <w:numFmt w:val="ideographTraditional"/>
      <w:lvlText w:val="%8、"/>
      <w:lvlJc w:val="left"/>
      <w:pPr>
        <w:ind w:left="4292" w:hanging="480"/>
      </w:pPr>
    </w:lvl>
    <w:lvl w:ilvl="8">
      <w:start w:val="1"/>
      <w:numFmt w:val="lowerRoman"/>
      <w:lvlText w:val="%9."/>
      <w:lvlJc w:val="right"/>
      <w:pPr>
        <w:ind w:left="4772" w:hanging="480"/>
      </w:pPr>
    </w:lvl>
  </w:abstractNum>
  <w:abstractNum w:abstractNumId="29" w15:restartNumberingAfterBreak="0">
    <w:nsid w:val="6D9B31C6"/>
    <w:multiLevelType w:val="multilevel"/>
    <w:tmpl w:val="6EC86194"/>
    <w:styleLink w:val="WW8Num19"/>
    <w:lvl w:ilvl="0">
      <w:start w:val="1"/>
      <w:numFmt w:val="japaneseCounting"/>
      <w:suff w:val="nothing"/>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08434BE"/>
    <w:multiLevelType w:val="multilevel"/>
    <w:tmpl w:val="58C27746"/>
    <w:styleLink w:val="WW8Num2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49F4757"/>
    <w:multiLevelType w:val="multilevel"/>
    <w:tmpl w:val="3D66D164"/>
    <w:styleLink w:val="WW8Num2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3"/>
  </w:num>
  <w:num w:numId="3">
    <w:abstractNumId w:val="4"/>
  </w:num>
  <w:num w:numId="4">
    <w:abstractNumId w:val="2"/>
  </w:num>
  <w:num w:numId="5">
    <w:abstractNumId w:val="5"/>
  </w:num>
  <w:num w:numId="6">
    <w:abstractNumId w:val="11"/>
  </w:num>
  <w:num w:numId="7">
    <w:abstractNumId w:val="0"/>
  </w:num>
  <w:num w:numId="8">
    <w:abstractNumId w:val="1"/>
  </w:num>
  <w:num w:numId="9">
    <w:abstractNumId w:val="9"/>
  </w:num>
  <w:num w:numId="10">
    <w:abstractNumId w:val="7"/>
  </w:num>
  <w:num w:numId="11">
    <w:abstractNumId w:val="19"/>
  </w:num>
  <w:num w:numId="12">
    <w:abstractNumId w:val="23"/>
  </w:num>
  <w:num w:numId="13">
    <w:abstractNumId w:val="28"/>
  </w:num>
  <w:num w:numId="14">
    <w:abstractNumId w:val="6"/>
  </w:num>
  <w:num w:numId="15">
    <w:abstractNumId w:val="14"/>
  </w:num>
  <w:num w:numId="16">
    <w:abstractNumId w:val="12"/>
  </w:num>
  <w:num w:numId="17">
    <w:abstractNumId w:val="17"/>
  </w:num>
  <w:num w:numId="18">
    <w:abstractNumId w:val="20"/>
  </w:num>
  <w:num w:numId="19">
    <w:abstractNumId w:val="29"/>
  </w:num>
  <w:num w:numId="20">
    <w:abstractNumId w:val="26"/>
  </w:num>
  <w:num w:numId="21">
    <w:abstractNumId w:val="22"/>
  </w:num>
  <w:num w:numId="22">
    <w:abstractNumId w:val="30"/>
  </w:num>
  <w:num w:numId="23">
    <w:abstractNumId w:val="10"/>
  </w:num>
  <w:num w:numId="24">
    <w:abstractNumId w:val="16"/>
  </w:num>
  <w:num w:numId="25">
    <w:abstractNumId w:val="24"/>
  </w:num>
  <w:num w:numId="26">
    <w:abstractNumId w:val="31"/>
  </w:num>
  <w:num w:numId="27">
    <w:abstractNumId w:val="15"/>
  </w:num>
  <w:num w:numId="28">
    <w:abstractNumId w:val="21"/>
  </w:num>
  <w:num w:numId="29">
    <w:abstractNumId w:val="18"/>
  </w:num>
  <w:num w:numId="30">
    <w:abstractNumId w:val="25"/>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50CE3"/>
    <w:rsid w:val="00150CE3"/>
    <w:rsid w:val="008160CC"/>
    <w:rsid w:val="00D02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7BAFD-69BB-4DE2-80BC-F676EC21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5">
    <w:name w:val="Balloon Text"/>
    <w:basedOn w:val="Standard"/>
    <w:rPr>
      <w:rFonts w:ascii="Arial" w:eastAsia="Arial" w:hAnsi="Arial" w:cs="Arial"/>
      <w:sz w:val="18"/>
      <w:szCs w:val="18"/>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next w:val="a7"/>
    <w:rPr>
      <w:b/>
      <w:bCs/>
    </w:rPr>
  </w:style>
  <w:style w:type="paragraph" w:styleId="a9">
    <w:name w:val="header"/>
    <w:basedOn w:val="Standard"/>
    <w:pPr>
      <w:tabs>
        <w:tab w:val="center" w:pos="4153"/>
        <w:tab w:val="right" w:pos="8306"/>
      </w:tabs>
      <w:snapToGrid w:val="0"/>
    </w:pPr>
    <w:rPr>
      <w:sz w:val="20"/>
      <w:szCs w:val="20"/>
    </w:rPr>
  </w:style>
  <w:style w:type="paragraph" w:customStyle="1" w:styleId="Footnote">
    <w:name w:val="Footnote"/>
    <w:basedOn w:val="Standard"/>
    <w:pPr>
      <w:snapToGrid w:val="0"/>
    </w:pPr>
    <w:rPr>
      <w:sz w:val="20"/>
      <w:szCs w:val="20"/>
    </w:rPr>
  </w:style>
  <w:style w:type="paragraph" w:customStyle="1" w:styleId="Default">
    <w:name w:val="Default"/>
    <w:pPr>
      <w:autoSpaceDE w:val="0"/>
    </w:pPr>
    <w:rPr>
      <w:rFonts w:ascii="標楷體" w:eastAsia="標楷體" w:hAnsi="標楷體" w:cs="標楷體"/>
      <w:color w:val="000000"/>
      <w:lang w:bidi="ar-SA"/>
    </w:rPr>
  </w:style>
  <w:style w:type="paragraph" w:styleId="Web">
    <w:name w:val="Normal (Web)"/>
    <w:basedOn w:val="Standard"/>
    <w:pPr>
      <w:spacing w:before="280" w:after="142" w:line="288" w:lineRule="auto"/>
      <w:jc w:val="both"/>
    </w:pPr>
    <w:rPr>
      <w:rFonts w:ascii="新細明體, PMingLiU" w:hAnsi="新細明體, PMingLiU" w:cs="新細明體, PMingLiU"/>
    </w:rPr>
  </w:style>
  <w:style w:type="paragraph" w:styleId="aa">
    <w:name w:val="List Paragraph"/>
    <w:basedOn w:val="Standard"/>
    <w:pPr>
      <w:ind w:left="480"/>
    </w:pPr>
    <w:rPr>
      <w:rFonts w:ascii="Calibri" w:hAnsi="Calibri"/>
      <w:szCs w:val="22"/>
    </w:rPr>
  </w:style>
  <w:style w:type="paragraph" w:styleId="ab">
    <w:name w:val="Plain Text"/>
    <w:basedOn w:val="Standard"/>
    <w:rPr>
      <w:rFonts w:ascii="細明體, MingLiU" w:eastAsia="細明體, MingLiU" w:hAnsi="細明體, MingLiU" w:cs="Courier New"/>
      <w:szCs w:val="20"/>
    </w:rPr>
  </w:style>
  <w:style w:type="paragraph" w:customStyle="1" w:styleId="ac">
    <w:name w:val="字元 字元 字元"/>
    <w:basedOn w:val="Standard"/>
    <w:pPr>
      <w:spacing w:after="160" w:line="240" w:lineRule="exact"/>
    </w:pPr>
    <w:rPr>
      <w:rFonts w:ascii="Tahoma" w:eastAsia="Tahoma" w:hAnsi="Tahoma" w:cs="Tahoma"/>
      <w:sz w:val="20"/>
      <w:szCs w:val="20"/>
    </w:rPr>
  </w:style>
  <w:style w:type="paragraph" w:customStyle="1" w:styleId="Textbodyindent">
    <w:name w:val="Text body indent"/>
    <w:basedOn w:val="Standard"/>
    <w:pPr>
      <w:ind w:left="480" w:hanging="480"/>
    </w:pPr>
    <w:rPr>
      <w:szCs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u w:val="singl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u w:val="singl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sz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4">
    <w:name w:val="WW8Num10z4"/>
    <w:rPr>
      <w:rFonts w:ascii="標楷體" w:eastAsia="標楷體" w:hAnsi="標楷體" w:cs="標楷體"/>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u w:val="single"/>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標楷體" w:eastAsia="標楷體" w:hAnsi="標楷體" w:cs="Times New Roman"/>
      <w:u w:val="single"/>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i w:val="0"/>
      <w:sz w:val="24"/>
      <w:lang w:val="en-US"/>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styleId="ad">
    <w:name w:val="page number"/>
    <w:basedOn w:val="a0"/>
  </w:style>
  <w:style w:type="character" w:styleId="ae">
    <w:name w:val="annotation reference"/>
    <w:rPr>
      <w:sz w:val="18"/>
      <w:szCs w:val="18"/>
    </w:rPr>
  </w:style>
  <w:style w:type="character" w:customStyle="1" w:styleId="HTML0">
    <w:name w:val="HTML 預設格式 字元"/>
    <w:rPr>
      <w:rFonts w:ascii="細明體, MingLiU" w:eastAsia="細明體, MingLiU" w:hAnsi="細明體, MingLiU" w:cs="細明體, MingLiU"/>
      <w:sz w:val="24"/>
      <w:szCs w:val="24"/>
    </w:rPr>
  </w:style>
  <w:style w:type="character" w:customStyle="1" w:styleId="af">
    <w:name w:val="註腳文字 字元"/>
    <w:rPr>
      <w:kern w:val="3"/>
    </w:rPr>
  </w:style>
  <w:style w:type="character" w:customStyle="1" w:styleId="FootnoteSymbol">
    <w:name w:val="Footnote Symbol"/>
    <w:rPr>
      <w:position w:val="0"/>
      <w:vertAlign w:val="superscript"/>
    </w:rPr>
  </w:style>
  <w:style w:type="character" w:customStyle="1" w:styleId="af0">
    <w:name w:val="頁尾 字元"/>
    <w:rPr>
      <w:kern w:val="3"/>
    </w:rPr>
  </w:style>
  <w:style w:type="character" w:customStyle="1" w:styleId="Internetlink">
    <w:name w:val="Internet link"/>
    <w:rPr>
      <w:color w:val="0000FF"/>
      <w:u w:val="single"/>
    </w:rPr>
  </w:style>
  <w:style w:type="character" w:customStyle="1" w:styleId="af1">
    <w:name w:val="純文字 字元"/>
    <w:rPr>
      <w:rFonts w:ascii="細明體, MingLiU" w:eastAsia="細明體, MingLiU" w:hAnsi="細明體, MingLiU" w:cs="Courier New"/>
      <w:kern w:val="3"/>
      <w:sz w:val="24"/>
    </w:rPr>
  </w:style>
  <w:style w:type="character" w:customStyle="1" w:styleId="af2">
    <w:name w:val="本文縮排 字元"/>
    <w:rPr>
      <w:kern w:val="3"/>
      <w:sz w:val="24"/>
    </w:rPr>
  </w:style>
  <w:style w:type="character" w:customStyle="1" w:styleId="af3">
    <w:name w:val="本文 字元"/>
    <w:rPr>
      <w:kern w:val="3"/>
      <w:sz w:val="24"/>
      <w:szCs w:val="24"/>
    </w:rPr>
  </w:style>
  <w:style w:type="character" w:customStyle="1" w:styleId="af4">
    <w:name w:val="清單段落 字元"/>
    <w:rPr>
      <w:rFonts w:ascii="Calibri" w:eastAsia="Calibri" w:hAnsi="Calibri" w:cs="Calibri"/>
      <w:kern w:val="3"/>
      <w:sz w:val="24"/>
      <w:szCs w:val="22"/>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1767</Characters>
  <Application>Microsoft Office Word</Application>
  <DocSecurity>0</DocSecurity>
  <Lines>14</Lines>
  <Paragraphs>4</Paragraphs>
  <ScaleCrop>false</ScaleCrop>
  <Company>CYHG</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教育部各單位法規案提法規會議審議注意事項檢核表</dc:title>
  <dc:creator>moejsmpc</dc:creator>
  <cp:lastModifiedBy>彭雅倫</cp:lastModifiedBy>
  <cp:revision>2</cp:revision>
  <cp:lastPrinted>2019-01-10T11:39:00Z</cp:lastPrinted>
  <dcterms:created xsi:type="dcterms:W3CDTF">2019-02-11T06:41:00Z</dcterms:created>
  <dcterms:modified xsi:type="dcterms:W3CDTF">2019-02-11T06:41:00Z</dcterms:modified>
</cp:coreProperties>
</file>