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overflowPunct w:val="false"/>
        <w:spacing w:lineRule="exact" w:line="460" w:before="0" w:after="280"/>
        <w:ind w:left="-2" w:firstLine="2"/>
        <w:jc w:val="both"/>
        <w:rPr>
          <w:rFonts w:ascii="標楷體" w:hAnsi="標楷體" w:eastAsia="標楷體"/>
          <w:sz w:val="40"/>
          <w:szCs w:val="36"/>
        </w:rPr>
      </w:pPr>
      <w:r>
        <w:rPr>
          <w:rFonts w:ascii="標楷體" w:hAnsi="標楷體" w:eastAsia="標楷體"/>
          <w:sz w:val="40"/>
          <w:szCs w:val="36"/>
        </w:rPr>
        <w:t>終身學習課程實施及非正規教育課程補助要點第四點、第五點、第六點修正規定</w:t>
      </w:r>
    </w:p>
    <w:p>
      <w:pPr>
        <w:pStyle w:val="Style16"/>
        <w:overflowPunct w:val="false"/>
        <w:spacing w:lineRule="exact" w:line="460"/>
        <w:ind w:left="560" w:hanging="560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四、申請開設終身學習課程補助之申請時程、申請文件及申請程序：</w:t>
      </w:r>
    </w:p>
    <w:p>
      <w:pPr>
        <w:pStyle w:val="Normal"/>
        <w:widowControl w:val="false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一</w:t>
      </w: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為直轄市、縣（市）所屬者：</w:t>
      </w:r>
    </w:p>
    <w:p>
      <w:pPr>
        <w:pStyle w:val="Normal"/>
        <w:widowControl w:val="false"/>
        <w:overflowPunct w:val="false"/>
        <w:spacing w:lineRule="exact" w:line="460"/>
        <w:ind w:left="16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1.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補助其所屬機關（構）及單位者：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(1)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申請時程：於本部公告之期程內。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(2)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申請文件：應填具申請書，擬訂終身學習課程計畫（應記載其內容、師資、地點、期程、經費明細及預期效益）及檢附符合所開設終身學習課程之相關文件、資料。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(3)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申請程序：經直轄市、縣（市）主管機關初審並彙整後，向本部提出。</w:t>
      </w:r>
    </w:p>
    <w:p>
      <w:pPr>
        <w:pStyle w:val="Normal"/>
        <w:widowControl w:val="false"/>
        <w:overflowPunct w:val="false"/>
        <w:spacing w:lineRule="exact" w:line="460"/>
        <w:ind w:left="16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2.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補助其所屬非營利機構及團體者：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(1)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申請時間：於前一年十一月一日至三十日受理申請。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(2)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申請文件：應填具申請書，擬訂終身學習課程計畫（應記載其內容、師資、地點、期程、經費明細及預期效益）及檢附符合所開設終身學習課程之相關文件、資料。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(3)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申請程序：經直轄市、縣（市）主管機關初審並彙整後，向本部提出。</w:t>
      </w:r>
    </w:p>
    <w:p>
      <w:pPr>
        <w:pStyle w:val="Normal"/>
        <w:widowControl w:val="false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二</w:t>
      </w: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前款以外之其他終身學習機構申請補助者：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1.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申請時間：於前一年十一月一日至三十日受理申請。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2.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申請文件：應填具申請書，擬訂終身學習課程計畫（應記載其內容、師資、地點、期程、經費明細及預期效益）及檢附符合所開設終身學習課程之相關文件、資料。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3.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申請作業：申請期限內（以郵戳為憑），將申請文件及資料函送本部。</w:t>
      </w:r>
    </w:p>
    <w:p>
      <w:pPr>
        <w:pStyle w:val="Style16"/>
        <w:overflowPunct w:val="false"/>
        <w:spacing w:lineRule="exact" w:line="460"/>
        <w:ind w:left="1418" w:hanging="1418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五、補助終身學習機構開設終身學習課程之補助基準：  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color w:val="000000"/>
          <w:spacing w:val="-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sz w:val="28"/>
          <w:szCs w:val="28"/>
        </w:rPr>
        <w:t>(</w:t>
      </w:r>
      <w:r>
        <w:rPr>
          <w:rFonts w:ascii="標楷體" w:hAnsi="標楷體" w:eastAsia="標楷體"/>
          <w:color w:val="000000"/>
          <w:spacing w:val="-2"/>
          <w:sz w:val="28"/>
          <w:szCs w:val="28"/>
        </w:rPr>
        <w:t>一</w:t>
      </w:r>
      <w:r>
        <w:rPr>
          <w:rFonts w:eastAsia="標楷體" w:ascii="標楷體" w:hAnsi="標楷體"/>
          <w:color w:val="000000"/>
          <w:spacing w:val="-2"/>
          <w:sz w:val="28"/>
          <w:szCs w:val="28"/>
        </w:rPr>
        <w:t>)</w:t>
      </w:r>
      <w:r>
        <w:rPr>
          <w:rFonts w:ascii="標楷體" w:hAnsi="標楷體" w:eastAsia="標楷體"/>
          <w:color w:val="000000"/>
          <w:spacing w:val="-2"/>
          <w:sz w:val="28"/>
          <w:szCs w:val="28"/>
        </w:rPr>
        <w:t>直轄市、縣（市）所屬者：</w:t>
      </w:r>
    </w:p>
    <w:p>
      <w:pPr>
        <w:pStyle w:val="Normal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1.</w:t>
      </w:r>
      <w:r>
        <w:rPr>
          <w:rFonts w:ascii="標楷體" w:hAnsi="標楷體" w:eastAsia="標楷體"/>
          <w:spacing w:val="-2"/>
          <w:sz w:val="28"/>
          <w:szCs w:val="28"/>
        </w:rPr>
        <w:t>補助其所屬機關（構）及單位者，依中央對直轄市及縣（市）政府補助辦法規定，將依直轄市、縣（市）政府財力級次給予不同補助比率如下：</w:t>
      </w:r>
    </w:p>
    <w:p>
      <w:pPr>
        <w:pStyle w:val="Normal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(1)</w:t>
      </w:r>
      <w:r>
        <w:rPr>
          <w:rFonts w:ascii="標楷體" w:hAnsi="標楷體" w:eastAsia="標楷體"/>
          <w:spacing w:val="-2"/>
          <w:sz w:val="28"/>
          <w:szCs w:val="28"/>
        </w:rPr>
        <w:t>財力級次屬第一級者，最高補助比率為核定計畫項目總金額百分之七十。</w:t>
      </w:r>
    </w:p>
    <w:p>
      <w:pPr>
        <w:pStyle w:val="Normal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(2)</w:t>
      </w:r>
      <w:r>
        <w:rPr>
          <w:rFonts w:ascii="標楷體" w:hAnsi="標楷體" w:eastAsia="標楷體"/>
          <w:spacing w:val="-2"/>
          <w:sz w:val="28"/>
          <w:szCs w:val="28"/>
        </w:rPr>
        <w:t>屬第二級者，最高補助比率為核定計畫項目總金額百分之七十五。</w:t>
      </w:r>
    </w:p>
    <w:p>
      <w:pPr>
        <w:pStyle w:val="Normal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(3)</w:t>
      </w:r>
      <w:r>
        <w:rPr>
          <w:rFonts w:ascii="標楷體" w:hAnsi="標楷體" w:eastAsia="標楷體"/>
          <w:spacing w:val="-2"/>
          <w:sz w:val="28"/>
          <w:szCs w:val="28"/>
        </w:rPr>
        <w:t>屬第三級者，最高補助比率為核定計畫項目總金額百分之八十。</w:t>
      </w:r>
    </w:p>
    <w:p>
      <w:pPr>
        <w:pStyle w:val="Normal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(4)</w:t>
      </w:r>
      <w:r>
        <w:rPr>
          <w:rFonts w:ascii="標楷體" w:hAnsi="標楷體" w:eastAsia="標楷體"/>
          <w:spacing w:val="-2"/>
          <w:sz w:val="28"/>
          <w:szCs w:val="28"/>
        </w:rPr>
        <w:t>屬第四級者，最高補助比率為核定計畫項目總金額百分之八十五。</w:t>
      </w:r>
    </w:p>
    <w:p>
      <w:pPr>
        <w:pStyle w:val="Normal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(5)</w:t>
      </w:r>
      <w:r>
        <w:rPr>
          <w:rFonts w:ascii="標楷體" w:hAnsi="標楷體" w:eastAsia="標楷體"/>
          <w:spacing w:val="-2"/>
          <w:sz w:val="28"/>
          <w:szCs w:val="28"/>
        </w:rPr>
        <w:t>屬第五級者，最高補助比率為核定計畫項目總金額百分之九十。</w:t>
      </w:r>
    </w:p>
    <w:p>
      <w:pPr>
        <w:pStyle w:val="Normal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2.</w:t>
      </w:r>
      <w:r>
        <w:rPr>
          <w:rFonts w:ascii="標楷體" w:hAnsi="標楷體" w:eastAsia="標楷體"/>
          <w:spacing w:val="-2"/>
          <w:sz w:val="28"/>
          <w:szCs w:val="28"/>
        </w:rPr>
        <w:t>補助其所屬非營利機構及團體者，不超過核定計畫項目總金額百分之五十；同一終身學習機構每年至多補助二案，且合計金額不超過新臺幣三十萬元。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二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補助對象為直轄市、縣（市）政府之計畫，計畫補助款之分攤款，高於其財力級次應編列者，本部得予以獎勵；直轄市、縣（市）政府因客觀事實經本部認定確無法足額編列計畫分攤款，致影響計畫推動者，本部得於最高補助比率不超過百分之九十之原則下，酌增計畫補助款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三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非直轄市、縣（市）所屬者：不超過核定計畫項目總金額百分之五十；同一終身學習機構每年至多補助二案，且合計金額不超過新臺幣三十萬元。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四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終身學習機構配合本部終身學習政策，推動相關學習課程者，得依本部公告之條件、內容、程序及期程，專案申請補助，不受前點所定期程及前款規定之限制。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五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終身學習機構申請補助開設之課程，其參與者之二分之一以上應為第二點所定之適用對象。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六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終身學習機構就同一終身學習課程之經費項目，已取得其他政府機關補助者，不得依本要點重複申請補助。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七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計畫經費項目編列應依本部補（捐）助及委辦計畫經費編列基準表規定辦理，且補助經費應專款專用，不得挪用。</w:t>
      </w:r>
    </w:p>
    <w:p>
      <w:pPr>
        <w:pStyle w:val="Normal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spacing w:val="-2"/>
          <w:sz w:val="28"/>
          <w:szCs w:val="28"/>
        </w:rPr>
      </w:pPr>
      <w:r>
        <w:rPr>
          <w:rFonts w:eastAsia="標楷體" w:ascii="標楷體" w:hAnsi="標楷體"/>
          <w:spacing w:val="-2"/>
          <w:sz w:val="28"/>
          <w:szCs w:val="28"/>
        </w:rPr>
        <w:t>(</w:t>
      </w:r>
      <w:r>
        <w:rPr>
          <w:rFonts w:ascii="標楷體" w:hAnsi="標楷體" w:eastAsia="標楷體"/>
          <w:spacing w:val="-2"/>
          <w:sz w:val="28"/>
          <w:szCs w:val="28"/>
        </w:rPr>
        <w:t>八</w:t>
      </w:r>
      <w:r>
        <w:rPr>
          <w:rFonts w:eastAsia="標楷體" w:ascii="標楷體" w:hAnsi="標楷體"/>
          <w:spacing w:val="-2"/>
          <w:sz w:val="28"/>
          <w:szCs w:val="28"/>
        </w:rPr>
        <w:t>)</w:t>
      </w:r>
      <w:r>
        <w:rPr>
          <w:rFonts w:ascii="標楷體" w:hAnsi="標楷體" w:eastAsia="標楷體"/>
          <w:spacing w:val="-2"/>
          <w:sz w:val="28"/>
          <w:szCs w:val="28"/>
        </w:rPr>
        <w:t>經費如未獲立法院審議通過，或經部分刪減，本部得依審議結果調整經費或進行協商。</w:t>
      </w:r>
    </w:p>
    <w:p>
      <w:pPr>
        <w:pStyle w:val="Normal"/>
        <w:widowControl w:val="false"/>
        <w:overflowPunct w:val="false"/>
        <w:spacing w:lineRule="exact" w:line="460"/>
        <w:ind w:left="5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六、核定開設終身學習課程補助之審查作業：</w:t>
      </w:r>
    </w:p>
    <w:p>
      <w:pPr>
        <w:pStyle w:val="Normal"/>
        <w:widowControl w:val="false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一</w:t>
      </w: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審查程序：審查程序分為初審及複審二階段；申請文件未符合本要點規定者，不予進行複審：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1.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初審：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(1)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為直轄市、縣（市）所屬者：經直轄市、縣（市）主管機關初審並彙整，就申請文件完備與否進行初審。</w:t>
      </w:r>
    </w:p>
    <w:p>
      <w:pPr>
        <w:pStyle w:val="Normal"/>
        <w:widowControl w:val="false"/>
        <w:overflowPunct w:val="false"/>
        <w:spacing w:lineRule="exact" w:line="460"/>
        <w:ind w:left="1914" w:hanging="414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(2)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前款以外之其他終身學習機構申請補助者：由本部就申請文件完備與否進行初審。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2.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複審：本部得邀請專家學者以審查會議或書面審查方式為之，並得視需求請申請單位到場說明。</w:t>
      </w:r>
    </w:p>
    <w:p>
      <w:pPr>
        <w:pStyle w:val="Normal"/>
        <w:widowControl w:val="false"/>
        <w:overflowPunct w:val="false"/>
        <w:spacing w:lineRule="exact" w:line="460"/>
        <w:ind w:left="1352" w:hanging="552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(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二</w:t>
      </w: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)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審查原則：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1.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計畫可行性。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2.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經費合理性。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3.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執行能力及前一年執行績效。但首次申請者，免予審查前一年執行績效。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4.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課程內容依本辦法第三條所定終身學習課程範圍為原則。</w:t>
      </w:r>
    </w:p>
    <w:p>
      <w:pPr>
        <w:pStyle w:val="Normal"/>
        <w:widowControl w:val="false"/>
        <w:overflowPunct w:val="false"/>
        <w:spacing w:lineRule="exact" w:line="460"/>
        <w:ind w:left="1376" w:hanging="276"/>
        <w:jc w:val="both"/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</w:pPr>
      <w:r>
        <w:rPr>
          <w:rFonts w:eastAsia="標楷體" w:ascii="標楷體" w:hAnsi="標楷體"/>
          <w:color w:val="000000"/>
          <w:spacing w:val="-2"/>
          <w:kern w:val="2"/>
          <w:sz w:val="28"/>
          <w:szCs w:val="28"/>
        </w:rPr>
        <w:t>5.</w:t>
      </w:r>
      <w:r>
        <w:rPr>
          <w:rFonts w:ascii="標楷體" w:hAnsi="標楷體" w:eastAsia="標楷體"/>
          <w:color w:val="000000"/>
          <w:spacing w:val="-2"/>
          <w:kern w:val="2"/>
          <w:sz w:val="28"/>
          <w:szCs w:val="28"/>
        </w:rPr>
        <w:t>本部重要政策推動事項。</w:t>
      </w:r>
    </w:p>
    <w:sectPr>
      <w:type w:val="nextPage"/>
      <w:pgSz w:w="11906" w:h="16838"/>
      <w:pgMar w:left="1701" w:right="1418" w:header="0" w:top="1418" w:footer="0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Calibri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Arial">
    <w:charset w:val="88"/>
    <w:family w:val="swiss"/>
    <w:pitch w:val="variable"/>
  </w:font>
  <w:font w:name="標楷體">
    <w:charset w:val="88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新細明體" w:cs="Times New Roman"/>
      <w:color w:val="auto"/>
      <w:kern w:val="0"/>
      <w:sz w:val="20"/>
      <w:szCs w:val="20"/>
      <w:lang w:val="en-US" w:eastAsia="zh-TW" w:bidi="ar-SA"/>
    </w:rPr>
  </w:style>
  <w:style w:type="paragraph" w:styleId="1">
    <w:name w:val="Heading 1"/>
    <w:basedOn w:val="Style16"/>
    <w:next w:val="Style16"/>
    <w:qFormat/>
    <w:pPr>
      <w:keepNext w:val="true"/>
      <w:numPr>
        <w:ilvl w:val="0"/>
        <w:numId w:val="2"/>
      </w:numPr>
      <w:spacing w:lineRule="auto" w:line="720" w:before="180" w:after="180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Style16"/>
    <w:next w:val="Style16"/>
    <w:qFormat/>
    <w:pPr>
      <w:keepNext w:val="true"/>
      <w:numPr>
        <w:ilvl w:val="0"/>
        <w:numId w:val="2"/>
      </w:numPr>
      <w:spacing w:lineRule="auto" w:line="72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Style16"/>
    <w:next w:val="Style16"/>
    <w:qFormat/>
    <w:pPr>
      <w:keepNext w:val="true"/>
      <w:numPr>
        <w:ilvl w:val="0"/>
        <w:numId w:val="2"/>
      </w:numPr>
      <w:spacing w:lineRule="auto" w:line="72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Style16"/>
    <w:next w:val="Style16"/>
    <w:qFormat/>
    <w:pPr>
      <w:keepNext w:val="true"/>
      <w:numPr>
        <w:ilvl w:val="0"/>
        <w:numId w:val="2"/>
      </w:numPr>
      <w:spacing w:lineRule="auto" w:line="72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Style16"/>
    <w:next w:val="Style16"/>
    <w:qFormat/>
    <w:pPr>
      <w:keepNext w:val="true"/>
      <w:numPr>
        <w:ilvl w:val="0"/>
        <w:numId w:val="2"/>
      </w:numPr>
      <w:spacing w:lineRule="auto" w:line="720"/>
      <w:ind w:left="200" w:hanging="0"/>
      <w:outlineLvl w:val="4"/>
    </w:pPr>
    <w:rPr>
      <w:rFonts w:ascii="Cambria" w:hAnsi="Cambri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11">
    <w:name w:val="標題 1 字元"/>
    <w:basedOn w:val="DefaultParagraphFont"/>
    <w:qFormat/>
    <w:rPr>
      <w:rFonts w:ascii="Cambria" w:hAnsi="Cambria" w:eastAsia="新細明體" w:cs="Times New Roman"/>
      <w:b/>
      <w:bCs/>
      <w:sz w:val="52"/>
      <w:szCs w:val="52"/>
    </w:rPr>
  </w:style>
  <w:style w:type="character" w:styleId="21">
    <w:name w:val="標題 2 字元"/>
    <w:basedOn w:val="DefaultParagraphFont"/>
    <w:qFormat/>
    <w:rPr>
      <w:rFonts w:ascii="Cambria" w:hAnsi="Cambria" w:eastAsia="新細明體" w:cs="Times New Roman"/>
      <w:b/>
      <w:bCs/>
      <w:sz w:val="48"/>
      <w:szCs w:val="48"/>
    </w:rPr>
  </w:style>
  <w:style w:type="character" w:styleId="31">
    <w:name w:val="標題 3 字元"/>
    <w:basedOn w:val="DefaultParagraphFont"/>
    <w:qFormat/>
    <w:rPr>
      <w:rFonts w:ascii="Cambria" w:hAnsi="Cambria" w:eastAsia="新細明體" w:cs="Times New Roman"/>
      <w:b/>
      <w:bCs/>
      <w:sz w:val="36"/>
      <w:szCs w:val="36"/>
    </w:rPr>
  </w:style>
  <w:style w:type="character" w:styleId="41">
    <w:name w:val="標題 4 字元"/>
    <w:basedOn w:val="DefaultParagraphFont"/>
    <w:qFormat/>
    <w:rPr>
      <w:rFonts w:ascii="Cambria" w:hAnsi="Cambria" w:eastAsia="新細明體" w:cs="Times New Roman"/>
      <w:sz w:val="36"/>
      <w:szCs w:val="36"/>
    </w:rPr>
  </w:style>
  <w:style w:type="character" w:styleId="51">
    <w:name w:val="標題 5 字元"/>
    <w:basedOn w:val="DefaultParagraphFont"/>
    <w:qFormat/>
    <w:rPr>
      <w:rFonts w:ascii="Cambria" w:hAnsi="Cambria" w:eastAsia="新細明體" w:cs="Times New Roman"/>
      <w:b/>
      <w:bCs/>
      <w:sz w:val="36"/>
      <w:szCs w:val="36"/>
    </w:rPr>
  </w:style>
  <w:style w:type="character" w:styleId="Style9">
    <w:name w:val="註腳字元"/>
    <w:basedOn w:val="DefaultParagraphFont"/>
    <w:qFormat/>
    <w:rPr>
      <w:vertAlign w:val="superscript"/>
    </w:rPr>
  </w:style>
  <w:style w:type="character" w:styleId="Style10">
    <w:name w:val="註腳錨定"/>
    <w:rPr>
      <w:vertAlign w:val="superscript"/>
    </w:rPr>
  </w:style>
  <w:style w:type="character" w:styleId="Style11">
    <w:name w:val="本文 字元"/>
    <w:basedOn w:val="DefaultParagraphFont"/>
    <w:qFormat/>
    <w:rPr>
      <w:rFonts w:ascii="Calibri" w:hAnsi="Calibri" w:eastAsia="新細明體" w:cs="Times New Roman"/>
    </w:rPr>
  </w:style>
  <w:style w:type="character" w:styleId="Style12">
    <w:name w:val="頁首 字元"/>
    <w:basedOn w:val="DefaultParagraphFont"/>
    <w:qFormat/>
    <w:rPr>
      <w:rFonts w:ascii="Times New Roman" w:hAnsi="Times New Roman" w:eastAsia="新細明體" w:cs="Times New Roman"/>
      <w:kern w:val="0"/>
      <w:sz w:val="20"/>
      <w:szCs w:val="20"/>
    </w:rPr>
  </w:style>
  <w:style w:type="character" w:styleId="Style13">
    <w:name w:val="註腳文字 字元"/>
    <w:basedOn w:val="DefaultParagraphFont"/>
    <w:qFormat/>
    <w:rPr>
      <w:rFonts w:ascii="Times New Roman" w:hAnsi="Times New Roman" w:eastAsia="新細明體" w:cs="Times New Roman"/>
      <w:kern w:val="0"/>
      <w:sz w:val="20"/>
      <w:szCs w:val="20"/>
    </w:rPr>
  </w:style>
  <w:style w:type="character" w:styleId="12">
    <w:name w:val="頁首 字元1"/>
    <w:basedOn w:val="DefaultParagraphFont"/>
    <w:qFormat/>
    <w:rPr>
      <w:rFonts w:ascii="Calibri" w:hAnsi="Calibri" w:eastAsia="新細明體" w:cs="Times New Roman"/>
      <w:sz w:val="20"/>
      <w:szCs w:val="20"/>
    </w:rPr>
  </w:style>
  <w:style w:type="character" w:styleId="Style14">
    <w:name w:val="頁尾 字元"/>
    <w:basedOn w:val="DefaultParagraphFont"/>
    <w:qFormat/>
    <w:rPr>
      <w:rFonts w:ascii="Times New Roman" w:hAnsi="Times New Roman" w:eastAsia="新細明體" w:cs="Times New Roman"/>
      <w:kern w:val="0"/>
      <w:sz w:val="20"/>
      <w:szCs w:val="20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Style16">
    <w:name w:val="Body Text"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13">
    <w:name w:val="標題-1"/>
    <w:basedOn w:val="Style16"/>
    <w:qFormat/>
    <w:pPr>
      <w:spacing w:lineRule="atLeast" w:line="0" w:before="0" w:after="120"/>
    </w:pPr>
    <w:rPr>
      <w:rFonts w:ascii="Arial" w:hAnsi="Arial" w:eastAsia="標楷體"/>
      <w:sz w:val="40"/>
    </w:rPr>
  </w:style>
  <w:style w:type="paragraph" w:styleId="Style20">
    <w:name w:val="頁首與頁尾"/>
    <w:basedOn w:val="Normal"/>
    <w:qFormat/>
    <w:pPr/>
    <w:rPr/>
  </w:style>
  <w:style w:type="paragraph" w:styleId="Style21">
    <w:name w:val="Header"/>
    <w:basedOn w:val="Style16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42">
    <w:name w:val="TOC 4"/>
    <w:basedOn w:val="Style16"/>
    <w:next w:val="Style16"/>
    <w:autoRedefine/>
    <w:pPr>
      <w:tabs>
        <w:tab w:val="clear" w:pos="480"/>
        <w:tab w:val="right" w:pos="8302" w:leader="dot"/>
      </w:tabs>
      <w:overflowPunct w:val="true"/>
      <w:ind w:left="480" w:hanging="480"/>
    </w:pPr>
    <w:rPr>
      <w:rFonts w:ascii="標楷體" w:hAnsi="標楷體" w:eastAsia="標楷體"/>
      <w:b/>
      <w:bCs/>
      <w:sz w:val="28"/>
      <w:szCs w:val="28"/>
      <w:shd w:fill="FFFFFF" w:val="clear"/>
    </w:rPr>
  </w:style>
  <w:style w:type="paragraph" w:styleId="Style22">
    <w:name w:val="Footnote Text"/>
    <w:basedOn w:val="Normal"/>
    <w:pPr>
      <w:suppressLineNumbers/>
      <w:ind w:left="340" w:hanging="340"/>
    </w:pPr>
    <w:rPr/>
  </w:style>
  <w:style w:type="paragraph" w:styleId="Style23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NDC_ODF_Application_Tools_/3.3.3$Windows_X86_64 LibreOffice_project/1e1e6a7b6182699804c71e64ce03ac02dcaacc3f</Application>
  <AppVersion>15.0000</AppVersion>
  <Pages>3</Pages>
  <Words>1575</Words>
  <Characters>1615</Characters>
  <CharactersWithSpaces>1617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2025-11-24T08:15:00Z</dcterms:created>
  <dc:creator>CJ</dc:creator>
  <dc:description/>
  <dc:language>zh-TW</dc:language>
  <cp:lastModifiedBy/>
  <dcterms:modified xsi:type="dcterms:W3CDTF">2025-12-01T09:43:22Z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