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pacing w:lineRule="exact" w:line="480"/>
        <w:jc w:val="center"/>
        <w:rPr/>
      </w:pPr>
      <w:bookmarkStart w:id="0" w:name="_Hlk139028589"/>
      <w:bookmarkEnd w:id="0"/>
      <w:r>
        <w:rPr>
          <w:rStyle w:val="Style14"/>
          <w:rFonts w:ascii="標楷體" w:hAnsi="標楷體" w:eastAsia="標楷體"/>
          <w:color w:val="000000"/>
          <w:sz w:val="40"/>
          <w:szCs w:val="40"/>
        </w:rPr>
        <w:t>自</w:t>
      </w:r>
      <w:bookmarkStart w:id="1" w:name="_Hlk184126779"/>
      <w:r>
        <w:rPr>
          <w:rStyle w:val="Style14"/>
          <w:rFonts w:ascii="標楷體" w:hAnsi="標楷體" w:eastAsia="標楷體"/>
          <w:color w:val="000000"/>
          <w:sz w:val="40"/>
          <w:szCs w:val="40"/>
        </w:rPr>
        <w:t>學進修國民教育學力鑑定考試辦法</w:t>
      </w:r>
      <w:bookmarkEnd w:id="1"/>
      <w:r>
        <w:rPr>
          <w:rStyle w:val="Style14"/>
          <w:rFonts w:cs="標楷體" w:eastAsia="標楷體"/>
          <w:bCs/>
          <w:color w:val="000000"/>
          <w:sz w:val="40"/>
          <w:szCs w:val="36"/>
        </w:rPr>
        <w:t>修正條文</w:t>
      </w:r>
    </w:p>
    <w:p>
      <w:pPr>
        <w:pStyle w:val="Normal"/>
        <w:spacing w:lineRule="exact" w:line="320"/>
        <w:jc w:val="right"/>
        <w:rPr>
          <w:rFonts w:ascii="標楷體" w:hAnsi="標楷體" w:eastAsia="標楷體"/>
          <w:color w:val="000000"/>
          <w:sz w:val="20"/>
        </w:rPr>
      </w:pPr>
      <w:r>
        <w:rPr>
          <w:rFonts w:eastAsia="標楷體" w:ascii="標楷體" w:hAnsi="標楷體"/>
          <w:color w:val="000000"/>
          <w:sz w:val="20"/>
        </w:rPr>
      </w:r>
    </w:p>
    <w:p>
      <w:pPr>
        <w:pStyle w:val="Normal"/>
        <w:tabs>
          <w:tab w:val="clear" w:pos="480"/>
        </w:tabs>
        <w:spacing w:lineRule="exact" w:line="460"/>
        <w:ind w:left="1418" w:right="0" w:hanging="1418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第一條　　本辦法依國民教育法（以下簡稱本法）第五十六條規定訂定之。</w:t>
      </w:r>
    </w:p>
    <w:p>
      <w:pPr>
        <w:pStyle w:val="Normal"/>
        <w:tabs>
          <w:tab w:val="clear" w:pos="480"/>
        </w:tabs>
        <w:spacing w:lineRule="exact" w:line="460"/>
        <w:ind w:left="1418" w:right="0" w:hanging="1420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第二條    自學進修國民教育學力鑑定考試（以下簡稱學力鑑定考試）之範圍如下：</w:t>
      </w:r>
    </w:p>
    <w:p>
      <w:pPr>
        <w:pStyle w:val="Normal"/>
        <w:tabs>
          <w:tab w:val="clear" w:pos="480"/>
        </w:tabs>
        <w:spacing w:lineRule="exact" w:line="460"/>
        <w:ind w:left="850" w:right="0" w:firstLine="56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一、相當於國民小學之畢業程度。</w:t>
      </w:r>
    </w:p>
    <w:p>
      <w:pPr>
        <w:pStyle w:val="Normal"/>
        <w:tabs>
          <w:tab w:val="clear" w:pos="480"/>
        </w:tabs>
        <w:spacing w:lineRule="exact" w:line="460"/>
        <w:ind w:left="850" w:right="0" w:firstLine="56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二、相當於國民中學之畢業程度。</w:t>
      </w:r>
    </w:p>
    <w:p>
      <w:pPr>
        <w:pStyle w:val="Normal"/>
        <w:tabs>
          <w:tab w:val="clear" w:pos="480"/>
        </w:tabs>
        <w:spacing w:lineRule="exact" w:line="460"/>
        <w:ind w:left="851" w:right="0" w:hanging="851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第三條　　學力鑑定考試，由各直轄市、縣（市）主管機關自行或聯合辦理；採聯合辦理者，由直轄市、縣（市）主管機關之一為主辦機關。</w:t>
      </w:r>
    </w:p>
    <w:p>
      <w:pPr>
        <w:pStyle w:val="Normal"/>
        <w:tabs>
          <w:tab w:val="clear" w:pos="480"/>
        </w:tabs>
        <w:spacing w:lineRule="exact" w:line="460"/>
        <w:ind w:left="850" w:right="0" w:firstLine="566"/>
        <w:jc w:val="both"/>
        <w:rPr/>
      </w:pPr>
      <w:r>
        <w:rPr>
          <w:rStyle w:val="Style14"/>
          <w:rFonts w:cs="標楷體" w:eastAsia="標楷體"/>
          <w:color w:val="000000"/>
          <w:sz w:val="28"/>
          <w:szCs w:val="26"/>
        </w:rPr>
        <w:t>前項學力鑑定考試，直轄市、縣（市）主管機關得委由學校或教育測驗服務機構（以下簡稱受委學校、機構）辦理。</w:t>
      </w:r>
      <w:r>
        <w:rPr>
          <w:rStyle w:val="Style14"/>
          <w:rFonts w:eastAsia="Times New Roman"/>
          <w:color w:val="000000"/>
          <w:sz w:val="28"/>
          <w:szCs w:val="26"/>
        </w:rPr>
        <w:t xml:space="preserve">                </w:t>
      </w:r>
    </w:p>
    <w:p>
      <w:pPr>
        <w:pStyle w:val="Normal"/>
        <w:tabs>
          <w:tab w:val="clear" w:pos="480"/>
        </w:tabs>
        <w:spacing w:lineRule="exact" w:line="460"/>
        <w:ind w:left="848" w:right="0" w:hanging="848"/>
        <w:jc w:val="both"/>
        <w:rPr/>
      </w:pPr>
      <w:r>
        <w:rPr>
          <w:rStyle w:val="Style14"/>
          <w:rFonts w:cs="標楷體" w:eastAsia="標楷體"/>
          <w:color w:val="000000"/>
          <w:sz w:val="28"/>
          <w:szCs w:val="26"/>
        </w:rPr>
        <w:t>第四條    直轄市、縣（市）主管機關辦理學力鑑定考試前，應邀集受委學校、機構、學者專家及機關代表組成試務委員會，就試務事項予以研議；其採聯合辦理者，由主辦機關邀集各受委學校、機構、學者專家及機關代表聯合組成試務委員會。</w:t>
      </w:r>
    </w:p>
    <w:p>
      <w:pPr>
        <w:pStyle w:val="Normal"/>
        <w:tabs>
          <w:tab w:val="clear" w:pos="480"/>
        </w:tabs>
        <w:spacing w:lineRule="exact" w:line="460"/>
        <w:ind w:left="848" w:right="0" w:hanging="848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第五條　　參加學力鑑定考試之應考資格如下：</w:t>
      </w:r>
    </w:p>
    <w:p>
      <w:pPr>
        <w:pStyle w:val="Normal"/>
        <w:tabs>
          <w:tab w:val="clear" w:pos="480"/>
        </w:tabs>
        <w:spacing w:lineRule="exact" w:line="460"/>
        <w:ind w:left="1984" w:right="0" w:hanging="56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一、持有中華民國國民身分證、護照或我國政府核發之有效居留證明文件。</w:t>
      </w:r>
    </w:p>
    <w:p>
      <w:pPr>
        <w:pStyle w:val="Normal"/>
        <w:tabs>
          <w:tab w:val="clear" w:pos="480"/>
        </w:tabs>
        <w:spacing w:lineRule="exact" w:line="460"/>
        <w:ind w:left="2479" w:right="0" w:hanging="1061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二、國民小學畢業程度：年滿十四歲之國民。</w:t>
      </w:r>
    </w:p>
    <w:p>
      <w:pPr>
        <w:pStyle w:val="Normal"/>
        <w:tabs>
          <w:tab w:val="clear" w:pos="480"/>
        </w:tabs>
        <w:spacing w:lineRule="exact" w:line="460"/>
        <w:ind w:left="2479" w:right="0" w:hanging="1061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三、國民中學畢業程度：年滿十七歲之國民。</w:t>
      </w:r>
    </w:p>
    <w:p>
      <w:pPr>
        <w:pStyle w:val="Normal"/>
        <w:tabs>
          <w:tab w:val="clear" w:pos="480"/>
        </w:tabs>
        <w:spacing w:lineRule="exact" w:line="460"/>
        <w:ind w:left="850" w:right="0" w:firstLine="566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前項第二款及第三款報考資格年齡，採計至應試當年之九月一日。</w:t>
      </w:r>
    </w:p>
    <w:p>
      <w:pPr>
        <w:pStyle w:val="Normal"/>
        <w:tabs>
          <w:tab w:val="clear" w:pos="480"/>
        </w:tabs>
        <w:spacing w:lineRule="exact" w:line="460"/>
        <w:ind w:left="848" w:right="0" w:hanging="848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第六條　　學力鑑定考試之科目如下：</w:t>
      </w:r>
    </w:p>
    <w:p>
      <w:pPr>
        <w:pStyle w:val="Normal"/>
        <w:tabs>
          <w:tab w:val="clear" w:pos="480"/>
        </w:tabs>
        <w:spacing w:lineRule="exact" w:line="460"/>
        <w:ind w:left="1979" w:right="0" w:hanging="563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一、國民小學畢業程度：國語文、數學、社會及自然科學。</w:t>
      </w:r>
    </w:p>
    <w:p>
      <w:pPr>
        <w:pStyle w:val="Normal"/>
        <w:tabs>
          <w:tab w:val="clear" w:pos="480"/>
        </w:tabs>
        <w:spacing w:lineRule="exact" w:line="460"/>
        <w:ind w:left="1979" w:right="0" w:hanging="563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二、國民中學畢業程度：國語文、英語文、數學、社會及自然科學。</w:t>
      </w:r>
    </w:p>
    <w:p>
      <w:pPr>
        <w:pStyle w:val="Normal"/>
        <w:tabs>
          <w:tab w:val="clear" w:pos="480"/>
        </w:tabs>
        <w:spacing w:lineRule="exact" w:line="460"/>
        <w:ind w:left="850" w:right="0" w:firstLine="566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學力鑑定考試之計分，每科均以六十分為及格，一百分為滿分；考試結果符合下列各款情形之一者為通過：</w:t>
      </w:r>
    </w:p>
    <w:p>
      <w:pPr>
        <w:pStyle w:val="Normal"/>
        <w:tabs>
          <w:tab w:val="clear" w:pos="480"/>
        </w:tabs>
        <w:spacing w:lineRule="exact" w:line="460"/>
        <w:ind w:left="1839" w:right="0" w:hanging="423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一、學力鑑定考試所定科目均及格。</w:t>
      </w:r>
    </w:p>
    <w:p>
      <w:pPr>
        <w:pStyle w:val="Normal"/>
        <w:tabs>
          <w:tab w:val="clear" w:pos="480"/>
        </w:tabs>
        <w:spacing w:lineRule="exact" w:line="460"/>
        <w:ind w:left="1839" w:right="0" w:hanging="423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二、當次各該科目均達五十分而總平均達六十分。</w:t>
      </w:r>
    </w:p>
    <w:p>
      <w:pPr>
        <w:pStyle w:val="Normal"/>
        <w:tabs>
          <w:tab w:val="clear" w:pos="480"/>
        </w:tabs>
        <w:spacing w:lineRule="exact" w:line="460"/>
        <w:ind w:left="850" w:right="0" w:firstLine="563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領有政府機關核發之身心障礙證明者，參加學力鑑定考試，其各科成績，以加百分之二十五計算之。</w:t>
      </w:r>
    </w:p>
    <w:p>
      <w:pPr>
        <w:pStyle w:val="Normal"/>
        <w:tabs>
          <w:tab w:val="clear" w:pos="480"/>
        </w:tabs>
        <w:spacing w:lineRule="exact" w:line="460"/>
        <w:ind w:left="848" w:right="0" w:hanging="848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 xml:space="preserve">第七條　　應考人參加學力鑑定考試時，其進入或離開試場、應攜帶或不得攜帶之文件與物品、作答之方式、停止作答之情形、在試場應遵行之秩序，違反者之扣減分數、不予計分、不准參加考試及其他應遵行事項，由辦理學力鑑定考試之直轄市、縣（市）主管機關定之；其採聯合辦理者，於訂定前應會商其他聯合辦理機關。          </w:t>
      </w:r>
    </w:p>
    <w:p>
      <w:pPr>
        <w:pStyle w:val="Normal"/>
        <w:tabs>
          <w:tab w:val="clear" w:pos="480"/>
        </w:tabs>
        <w:spacing w:lineRule="exact" w:line="460"/>
        <w:ind w:left="849" w:right="0" w:hanging="851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第八條　　辦理學力鑑定考試時，應衡酌身心障礙考生之考試科目特性及實際需要，提供適當之考場服務、輔具服務、試題（卷）調整服務、作答時間、作答方式及其他合理調整之服務措施。</w:t>
      </w:r>
    </w:p>
    <w:p>
      <w:pPr>
        <w:pStyle w:val="Normal"/>
        <w:tabs>
          <w:tab w:val="clear" w:pos="480"/>
        </w:tabs>
        <w:spacing w:lineRule="exact" w:line="460"/>
        <w:ind w:left="708" w:right="0" w:hanging="708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第九條　　經學力鑑定考試通過者，由直轄市、縣（市）主管機關發給學力鑑定通過證書，證明其具有國民小學或國民中學畢業之同等資格；單科考試科目達六十分及格者，發給各該考試科目及格證明書，於參加學力鑑定考試時，得免考及格科目，俟其全部科目均達六十分時，發給學力鑑定通過證書。</w:t>
      </w:r>
    </w:p>
    <w:p>
      <w:pPr>
        <w:pStyle w:val="Normal"/>
        <w:tabs>
          <w:tab w:val="clear" w:pos="480"/>
        </w:tabs>
        <w:spacing w:lineRule="exact" w:line="460"/>
        <w:ind w:left="708" w:right="0" w:firstLine="566"/>
        <w:jc w:val="both"/>
        <w:rPr/>
      </w:pPr>
      <w:r>
        <w:rPr>
          <w:rStyle w:val="Style14"/>
          <w:rFonts w:cs="標楷體" w:eastAsia="標楷體"/>
          <w:color w:val="000000"/>
          <w:sz w:val="28"/>
          <w:szCs w:val="26"/>
        </w:rPr>
        <w:t>前項學力鑑定通過證書及各該考試科目及格證明書之發給、換發或補發，由直轄市、縣（市）主管機關辦理。</w:t>
      </w:r>
    </w:p>
    <w:p>
      <w:pPr>
        <w:pStyle w:val="Normal"/>
        <w:tabs>
          <w:tab w:val="clear" w:pos="480"/>
          <w:tab w:val="left" w:pos="1418" w:leader="none"/>
          <w:tab w:val="left" w:pos="2317" w:leader="none"/>
        </w:tabs>
        <w:spacing w:lineRule="exact" w:line="460"/>
        <w:ind w:left="709" w:right="0" w:hanging="851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第十條　　學力鑑定考試前發現應考人有下列各款情事之一者，撤銷或廢止其准考資格；考試時發現者，予以扣考，已應考之科目均不予計分；考試後榜示前發現者，不予發給學力鑑定通過證書或考試科目及格證明書；考試榜示後發現者，撤銷或廢止其考試及格資格，已發給證書或證明書者，註銷之；其涉及刑事責任者，移送司法機關辦理：</w:t>
      </w:r>
    </w:p>
    <w:p>
      <w:pPr>
        <w:pStyle w:val="Normal"/>
        <w:tabs>
          <w:tab w:val="clear" w:pos="480"/>
        </w:tabs>
        <w:spacing w:lineRule="exact" w:line="460"/>
        <w:ind w:left="680" w:right="0" w:firstLine="5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一、冒名頂替。</w:t>
      </w:r>
    </w:p>
    <w:p>
      <w:pPr>
        <w:pStyle w:val="Normal"/>
        <w:tabs>
          <w:tab w:val="clear" w:pos="480"/>
        </w:tabs>
        <w:spacing w:lineRule="exact" w:line="460"/>
        <w:ind w:left="680" w:right="0" w:firstLine="5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二、偽造或變造應考證件。</w:t>
      </w:r>
    </w:p>
    <w:p>
      <w:pPr>
        <w:pStyle w:val="Normal"/>
        <w:tabs>
          <w:tab w:val="clear" w:pos="480"/>
        </w:tabs>
        <w:spacing w:lineRule="exact" w:line="460"/>
        <w:ind w:left="680" w:right="0" w:firstLine="5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三、不具備應考資格。</w:t>
      </w:r>
    </w:p>
    <w:p>
      <w:pPr>
        <w:pStyle w:val="Normal"/>
        <w:tabs>
          <w:tab w:val="clear" w:pos="480"/>
        </w:tabs>
        <w:spacing w:lineRule="exact" w:line="460"/>
        <w:ind w:left="1276" w:right="0" w:hanging="567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四、以詐術或其他不正當方法，使考試發生不正確之結果。</w:t>
      </w:r>
    </w:p>
    <w:p>
      <w:pPr>
        <w:pStyle w:val="Normal"/>
        <w:tabs>
          <w:tab w:val="clear" w:pos="480"/>
          <w:tab w:val="left" w:pos="1134" w:leader="none"/>
          <w:tab w:val="left" w:pos="2317" w:leader="none"/>
        </w:tabs>
        <w:spacing w:lineRule="exact" w:line="460"/>
        <w:ind w:left="1134" w:right="0" w:hanging="1134"/>
        <w:jc w:val="both"/>
        <w:rPr>
          <w:rFonts w:eastAsia="標楷體" w:cs="標楷體"/>
          <w:color w:val="000000"/>
          <w:sz w:val="28"/>
          <w:szCs w:val="26"/>
        </w:rPr>
      </w:pPr>
      <w:r>
        <w:rPr>
          <w:rFonts w:cs="標楷體" w:eastAsia="標楷體"/>
          <w:color w:val="000000"/>
          <w:sz w:val="28"/>
          <w:szCs w:val="26"/>
        </w:rPr>
        <w:t>第十一條　  學力鑑定考試每年舉辦一次，其時間由直轄市、縣（市）主管機關定之。</w:t>
      </w:r>
    </w:p>
    <w:p>
      <w:pPr>
        <w:pStyle w:val="Normal"/>
        <w:tabs>
          <w:tab w:val="clear" w:pos="480"/>
        </w:tabs>
        <w:spacing w:lineRule="exact" w:line="460"/>
        <w:ind w:left="1134" w:right="0" w:hanging="1134"/>
        <w:jc w:val="both"/>
        <w:rPr/>
      </w:pPr>
      <w:r>
        <w:rPr>
          <w:rStyle w:val="Style14"/>
          <w:rFonts w:cs="標楷體" w:eastAsia="標楷體"/>
          <w:color w:val="000000"/>
          <w:sz w:val="28"/>
          <w:szCs w:val="26"/>
        </w:rPr>
        <w:t>第十二條　  本辦法自中華民國一百十四年八月一日施行。</w:t>
      </w:r>
    </w:p>
    <w:sectPr>
      <w:footerReference w:type="default" r:id="rId2"/>
      <w:type w:val="nextPage"/>
      <w:pgSz w:w="11906" w:h="16838"/>
      <w:pgMar w:left="1701" w:right="1418" w:header="0" w:top="720" w:footer="1417" w:bottom="198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sөũ">
    <w:charset w:val="88"/>
    <w:family w:val="roman"/>
    <w:pitch w:val="default"/>
  </w:font>
  <w:font w:name="細明體">
    <w:charset w:val="88"/>
    <w:family w:val="modern"/>
    <w:pitch w:val="fixed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character" w:styleId="Style17">
    <w:name w:val="清單段落 字元"/>
    <w:qFormat/>
    <w:rPr/>
  </w:style>
  <w:style w:type="character" w:styleId="Dialogtext1">
    <w:name w:val="dialog_text1"/>
    <w:basedOn w:val="Style14"/>
    <w:qFormat/>
    <w:rPr>
      <w:rFonts w:ascii="sөũ" w:hAnsi="sөũ" w:eastAsia="sөũ" w:cs="sөũ"/>
      <w:color w:val="000000"/>
      <w:sz w:val="24"/>
      <w:szCs w:val="24"/>
    </w:rPr>
  </w:style>
  <w:style w:type="character" w:styleId="Style18">
    <w:name w:val="預留位置文字"/>
    <w:basedOn w:val="Style14"/>
    <w:qFormat/>
    <w:rPr>
      <w:color w:val="808080"/>
    </w:rPr>
  </w:style>
  <w:style w:type="character" w:styleId="HTML">
    <w:name w:val="HTML 預設格式 字元"/>
    <w:basedOn w:val="Style14"/>
    <w:qFormat/>
    <w:rPr>
      <w:rFonts w:ascii="細明體" w:hAnsi="細明體" w:eastAsia="細明體" w:cs="細明體"/>
      <w:kern w:val="0"/>
      <w:szCs w:val="24"/>
    </w:rPr>
  </w:style>
  <w:style w:type="character" w:styleId="Style19">
    <w:name w:val="頁碼"/>
    <w:basedOn w:val="Style14"/>
    <w:rPr/>
  </w:style>
  <w:style w:type="character" w:styleId="Style20">
    <w:name w:val="註解參照"/>
    <w:basedOn w:val="Style14"/>
    <w:qFormat/>
    <w:rPr>
      <w:sz w:val="18"/>
      <w:szCs w:val="18"/>
    </w:rPr>
  </w:style>
  <w:style w:type="character" w:styleId="Style21">
    <w:name w:val="註解文字 字元"/>
    <w:basedOn w:val="Style14"/>
    <w:qFormat/>
    <w:rPr/>
  </w:style>
  <w:style w:type="paragraph" w:styleId="Style22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3">
    <w:name w:val="清單段落"/>
    <w:basedOn w:val="Style22"/>
    <w:qFormat/>
    <w:pPr>
      <w:tabs>
        <w:tab w:val="clear" w:pos="480"/>
      </w:tabs>
      <w:suppressAutoHyphens w:val="true"/>
      <w:ind w:left="480" w:right="0" w:hanging="0"/>
    </w:pPr>
    <w:rPr/>
  </w:style>
  <w:style w:type="paragraph" w:styleId="Style24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true"/>
    </w:pPr>
    <w:rPr/>
  </w:style>
  <w:style w:type="paragraph" w:styleId="Style25">
    <w:name w:val="Header"/>
    <w:basedOn w:val="Style22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6">
    <w:name w:val="Footer"/>
    <w:basedOn w:val="Style22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HTML1">
    <w:name w:val="HTML 預設格式"/>
    <w:basedOn w:val="Style22"/>
    <w:qFormat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textAlignment w:val="baseline"/>
    </w:pPr>
    <w:rPr>
      <w:rFonts w:ascii="細明體" w:hAnsi="細明體" w:eastAsia="細明體" w:cs="細明體"/>
      <w:kern w:val="0"/>
      <w:szCs w:val="24"/>
    </w:rPr>
  </w:style>
  <w:style w:type="paragraph" w:styleId="Style27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8">
    <w:name w:val="註解文字"/>
    <w:basedOn w:val="Style22"/>
    <w:qFormat/>
    <w:pPr>
      <w:suppressAutoHyphens w:val="true"/>
    </w:pPr>
    <w:rPr/>
  </w:style>
  <w:style w:type="paragraph" w:styleId="Style29">
    <w:name w:val="修訂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30">
    <w:name w:val="外框內容"/>
    <w:basedOn w:val="Normal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NDC_ODF_Application_Tools_/3.3.3$Windows_X86_64 LibreOffice_project/1e1e6a7b6182699804c71e64ce03ac02dcaacc3f</Application>
  <AppVersion>15.0000</AppVersion>
  <Pages>3</Pages>
  <Words>1321</Words>
  <Characters>1321</Characters>
  <CharactersWithSpaces>1377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2025-05-22T09:49:00Z</dcterms:created>
  <dc:creator>王浩然</dc:creator>
  <dc:description/>
  <dc:language>zh-TW</dc:language>
  <cp:lastModifiedBy/>
  <cp:lastPrinted>2025-05-23T19:56:00Z</cp:lastPrinted>
  <dcterms:modified xsi:type="dcterms:W3CDTF">2025-06-19T14:48:54Z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1</vt:bool>
  </property>
</Properties>
</file>