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overflowPunct w:val="false"/>
        <w:spacing w:before="0" w:after="100"/>
        <w:jc w:val="center"/>
        <w:rPr>
          <w:rFonts w:ascii="標楷體" w:hAnsi="標楷體" w:eastAsia="標楷體"/>
          <w:b/>
          <w:b/>
          <w:color w:val="000000"/>
          <w:sz w:val="36"/>
          <w:szCs w:val="36"/>
          <w:shd w:fill="FFFFFF" w:val="clear"/>
        </w:rPr>
      </w:pPr>
      <w:r>
        <w:rPr>
          <w:rFonts w:ascii="標楷體" w:hAnsi="標楷體" w:eastAsia="標楷體"/>
          <w:b/>
          <w:color w:val="000000"/>
          <w:sz w:val="36"/>
          <w:szCs w:val="36"/>
          <w:shd w:fill="FFFFFF" w:val="clear"/>
        </w:rPr>
        <w:t>教育部社會教育貢獻獎實施要點部分規定修正規定</w:t>
      </w:r>
    </w:p>
    <w:p>
      <w:pPr>
        <w:pStyle w:val="Style17"/>
        <w:tabs>
          <w:tab w:val="clear" w:pos="480"/>
        </w:tabs>
        <w:overflowPunct w:val="false"/>
        <w:snapToGrid w:val="false"/>
        <w:spacing w:lineRule="auto" w:line="360"/>
        <w:ind w:left="560" w:right="0" w:hanging="560"/>
        <w:jc w:val="both"/>
        <w:rPr>
          <w:rFonts w:ascii="標楷體" w:hAnsi="標楷體" w:eastAsia="標楷體"/>
          <w:bCs/>
          <w:color w:val="000000"/>
          <w:sz w:val="28"/>
          <w:szCs w:val="28"/>
        </w:rPr>
      </w:pPr>
      <w:r>
        <w:rPr>
          <w:rFonts w:ascii="標楷體" w:hAnsi="標楷體" w:eastAsia="標楷體"/>
          <w:bCs/>
          <w:color w:val="000000"/>
          <w:sz w:val="28"/>
          <w:szCs w:val="28"/>
        </w:rPr>
        <w:t>六、推薦程序及期限：</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（一）推展社會教育具卓越貢獻之團體或個人，應切實填妥書面申請表件並檢附相關佐證資料</w:t>
      </w:r>
      <w:r>
        <w:rPr>
          <w:rFonts w:eastAsia="標楷體" w:ascii="標楷體" w:hAnsi="標楷體"/>
          <w:bCs/>
          <w:color w:val="000000"/>
          <w:sz w:val="28"/>
          <w:szCs w:val="28"/>
        </w:rPr>
        <w:t>(</w:t>
      </w:r>
      <w:r>
        <w:rPr>
          <w:rFonts w:ascii="標楷體" w:hAnsi="標楷體" w:eastAsia="標楷體"/>
          <w:bCs/>
          <w:color w:val="000000"/>
          <w:sz w:val="28"/>
          <w:szCs w:val="28"/>
        </w:rPr>
        <w:t>近五年重要事蹟</w:t>
      </w:r>
      <w:r>
        <w:rPr>
          <w:rFonts w:eastAsia="標楷體" w:ascii="標楷體" w:hAnsi="標楷體"/>
          <w:bCs/>
          <w:color w:val="000000"/>
          <w:sz w:val="28"/>
          <w:szCs w:val="28"/>
        </w:rPr>
        <w:t>)</w:t>
      </w:r>
      <w:r>
        <w:rPr>
          <w:rFonts w:ascii="標楷體" w:hAnsi="標楷體" w:eastAsia="標楷體"/>
          <w:bCs/>
          <w:color w:val="000000"/>
          <w:sz w:val="28"/>
          <w:szCs w:val="28"/>
        </w:rPr>
        <w:t>，相關程序如下：</w:t>
      </w:r>
    </w:p>
    <w:p>
      <w:pPr>
        <w:pStyle w:val="Style17"/>
        <w:tabs>
          <w:tab w:val="clear" w:pos="480"/>
        </w:tabs>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1.</w:t>
      </w:r>
      <w:r>
        <w:rPr>
          <w:rFonts w:ascii="標楷體" w:hAnsi="標楷體" w:eastAsia="標楷體"/>
          <w:bCs/>
          <w:color w:val="000000"/>
          <w:sz w:val="28"/>
          <w:szCs w:val="28"/>
        </w:rPr>
        <w:t>由推薦單位主動推薦。</w:t>
      </w:r>
    </w:p>
    <w:p>
      <w:pPr>
        <w:pStyle w:val="Style17"/>
        <w:tabs>
          <w:tab w:val="clear" w:pos="480"/>
        </w:tabs>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2.</w:t>
      </w:r>
      <w:r>
        <w:rPr>
          <w:rFonts w:ascii="標楷體" w:hAnsi="標楷體" w:eastAsia="標楷體"/>
          <w:bCs/>
          <w:color w:val="000000"/>
          <w:sz w:val="28"/>
          <w:szCs w:val="28"/>
        </w:rPr>
        <w:t>下列參選者得向推薦單位申請推薦：</w:t>
      </w:r>
    </w:p>
    <w:p>
      <w:pPr>
        <w:pStyle w:val="Style17"/>
        <w:tabs>
          <w:tab w:val="clear" w:pos="480"/>
        </w:tabs>
        <w:overflowPunct w:val="false"/>
        <w:snapToGrid w:val="false"/>
        <w:spacing w:lineRule="auto" w:line="360"/>
        <w:ind w:left="559" w:right="0" w:firstLine="288"/>
        <w:jc w:val="both"/>
        <w:rPr>
          <w:rFonts w:ascii="標楷體" w:hAnsi="標楷體" w:eastAsia="標楷體"/>
          <w:bCs/>
          <w:color w:val="000000"/>
          <w:sz w:val="28"/>
          <w:szCs w:val="28"/>
        </w:rPr>
      </w:pPr>
      <w:r>
        <w:rPr>
          <w:rFonts w:eastAsia="標楷體" w:ascii="標楷體" w:hAnsi="標楷體"/>
          <w:bCs/>
          <w:color w:val="000000"/>
          <w:sz w:val="28"/>
          <w:szCs w:val="28"/>
        </w:rPr>
        <w:t>(1)</w:t>
      </w:r>
      <w:r>
        <w:rPr>
          <w:rFonts w:ascii="標楷體" w:hAnsi="標楷體" w:eastAsia="標楷體"/>
          <w:bCs/>
          <w:color w:val="000000"/>
          <w:sz w:val="28"/>
          <w:szCs w:val="28"/>
        </w:rPr>
        <w:t>團體：逕向推薦單位申請。</w:t>
      </w:r>
    </w:p>
    <w:p>
      <w:pPr>
        <w:pStyle w:val="Style17"/>
        <w:tabs>
          <w:tab w:val="clear" w:pos="480"/>
        </w:tabs>
        <w:overflowPunct w:val="false"/>
        <w:snapToGrid w:val="false"/>
        <w:spacing w:lineRule="auto" w:line="360"/>
        <w:ind w:left="1267" w:right="0" w:hanging="420"/>
        <w:jc w:val="both"/>
        <w:rPr>
          <w:rFonts w:ascii="標楷體" w:hAnsi="標楷體" w:eastAsia="標楷體"/>
          <w:bCs/>
          <w:color w:val="000000"/>
          <w:sz w:val="28"/>
          <w:szCs w:val="28"/>
        </w:rPr>
      </w:pPr>
      <w:r>
        <w:rPr>
          <w:rFonts w:eastAsia="標楷體" w:ascii="標楷體" w:hAnsi="標楷體"/>
          <w:bCs/>
          <w:color w:val="000000"/>
          <w:sz w:val="28"/>
          <w:szCs w:val="28"/>
        </w:rPr>
        <w:t>(2)</w:t>
      </w:r>
      <w:r>
        <w:rPr>
          <w:rFonts w:ascii="標楷體" w:hAnsi="標楷體" w:eastAsia="標楷體"/>
          <w:bCs/>
          <w:color w:val="000000"/>
          <w:sz w:val="28"/>
          <w:szCs w:val="28"/>
        </w:rPr>
        <w:t>個人：由機關（構）、學校、依法設立有案之團體、法人審查完成後向推薦單位申請。</w:t>
      </w:r>
    </w:p>
    <w:p>
      <w:pPr>
        <w:pStyle w:val="Style17"/>
        <w:tabs>
          <w:tab w:val="clear" w:pos="480"/>
        </w:tabs>
        <w:overflowPunct w:val="false"/>
        <w:snapToGrid w:val="false"/>
        <w:spacing w:lineRule="auto" w:line="360"/>
        <w:ind w:left="1267" w:right="0" w:hanging="420"/>
        <w:jc w:val="both"/>
        <w:rPr>
          <w:rFonts w:ascii="標楷體" w:hAnsi="標楷體" w:eastAsia="標楷體"/>
          <w:bCs/>
          <w:color w:val="000000"/>
          <w:sz w:val="28"/>
          <w:szCs w:val="28"/>
        </w:rPr>
      </w:pPr>
      <w:r>
        <w:rPr>
          <w:rFonts w:eastAsia="標楷體" w:ascii="標楷體" w:hAnsi="標楷體"/>
          <w:bCs/>
          <w:color w:val="000000"/>
          <w:sz w:val="28"/>
          <w:szCs w:val="28"/>
        </w:rPr>
        <w:t>(3)</w:t>
      </w:r>
      <w:r>
        <w:rPr>
          <w:rFonts w:ascii="標楷體" w:hAnsi="標楷體" w:eastAsia="標楷體"/>
          <w:bCs/>
          <w:color w:val="000000"/>
          <w:sz w:val="28"/>
          <w:szCs w:val="28"/>
        </w:rPr>
        <w:t>團體或個人參選者應於每年六月十五日以前（以郵戳為憑），檢具申請推薦資料文件並加蓋印信向推薦單位申請推薦。</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（二）各推薦單位應本審慎客觀原則，深入查證、評析推薦事蹟並經初審後擇優推薦。推薦二個以上團體或個人者，應排列優先順序。</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（三）各推薦單位應於每年七月三十一日以前（以郵戳為憑），填妥推薦表並加蓋印信，檢具推薦名單及參選者推薦資料文件函報本部參加複審。</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（四）各推薦單位將推薦案件送達本部後，經本部檢覈逾期、程序不符或資料不全者，不予受理。</w:t>
      </w:r>
    </w:p>
    <w:p>
      <w:pPr>
        <w:pStyle w:val="Style17"/>
        <w:overflowPunct w:val="false"/>
        <w:snapToGrid w:val="false"/>
        <w:spacing w:lineRule="auto" w:line="360"/>
        <w:jc w:val="both"/>
        <w:rPr>
          <w:rFonts w:ascii="標楷體" w:hAnsi="標楷體" w:eastAsia="標楷體"/>
          <w:bCs/>
          <w:color w:val="000000"/>
          <w:sz w:val="28"/>
          <w:szCs w:val="28"/>
        </w:rPr>
      </w:pPr>
      <w:r>
        <w:rPr>
          <w:rFonts w:ascii="標楷體" w:hAnsi="標楷體" w:eastAsia="標楷體"/>
          <w:bCs/>
          <w:color w:val="000000"/>
          <w:sz w:val="28"/>
          <w:szCs w:val="28"/>
        </w:rPr>
        <w:t>七、評審方式：</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一）評審小組：社會教育貢獻獎評審小組置委員七人至十五人，並為奇數，聘請本部代表、學者專家及熟諳社會教育實務領域人士擔任，其中一人為召集人，由委員互選之；其任一性別委員人數不得少於委員總數三分之一。</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（二）審查程序：本獎項分為複審及決審，必要時，並得實地查核、訪談或請推薦單位說明，以作為複審、決審會議審查之依據。</w:t>
      </w:r>
    </w:p>
    <w:p>
      <w:pPr>
        <w:pStyle w:val="Style17"/>
        <w:tabs>
          <w:tab w:val="clear" w:pos="480"/>
        </w:tabs>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1.</w:t>
      </w:r>
      <w:r>
        <w:rPr>
          <w:rFonts w:ascii="標楷體" w:hAnsi="標楷體" w:eastAsia="標楷體"/>
          <w:bCs/>
          <w:color w:val="000000"/>
          <w:sz w:val="28"/>
          <w:szCs w:val="28"/>
        </w:rPr>
        <w:t>終身奉獻獎：受推薦者名單應於複審會議經二分之一以上委員出席及出席委員三分之二以上同意，提於決審會議審查，經三分之二以上委員出席及出席委員全數通過後，決議評定為獲獎名單。</w:t>
      </w:r>
    </w:p>
    <w:p>
      <w:pPr>
        <w:pStyle w:val="Style17"/>
        <w:tabs>
          <w:tab w:val="clear" w:pos="480"/>
        </w:tabs>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2.</w:t>
      </w:r>
      <w:r>
        <w:rPr>
          <w:rFonts w:ascii="標楷體" w:hAnsi="標楷體" w:eastAsia="標楷體"/>
          <w:bCs/>
          <w:color w:val="000000"/>
          <w:sz w:val="28"/>
          <w:szCs w:val="28"/>
        </w:rPr>
        <w:t>團體獎或個人獎：受推薦者名單應於複審會議經二分之一以上委員出席及出席委員三分之二以上同意，提於決審會議審查，經三分之二以上委員出席及出席委員四分之三以上通過後，決議評定為獲獎名單。</w:t>
      </w:r>
    </w:p>
    <w:p>
      <w:pPr>
        <w:pStyle w:val="Style17"/>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（三）委員之迴避，應依行政程序法相關規定辦理。</w:t>
      </w:r>
    </w:p>
    <w:p>
      <w:pPr>
        <w:pStyle w:val="Style17"/>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（四）委員對於評審經過及結果應予保密。</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（五）各直轄市、縣（市）社會教育貢獻獎之評審，由各直轄市、縣（市）主管教育行政機關自行辦理。</w:t>
      </w:r>
    </w:p>
    <w:p>
      <w:pPr>
        <w:pStyle w:val="Style17"/>
        <w:overflowPunct w:val="false"/>
        <w:snapToGrid w:val="false"/>
        <w:spacing w:lineRule="auto" w:line="360"/>
        <w:jc w:val="both"/>
        <w:rPr>
          <w:rFonts w:ascii="標楷體" w:hAnsi="標楷體" w:eastAsia="標楷體"/>
          <w:bCs/>
          <w:color w:val="000000"/>
          <w:sz w:val="28"/>
          <w:szCs w:val="28"/>
        </w:rPr>
      </w:pPr>
      <w:r>
        <w:rPr>
          <w:rFonts w:ascii="標楷體" w:hAnsi="標楷體" w:eastAsia="標楷體"/>
          <w:bCs/>
          <w:color w:val="000000"/>
          <w:sz w:val="28"/>
          <w:szCs w:val="28"/>
        </w:rPr>
        <w:t>八、表揚名額及方式：</w:t>
      </w:r>
    </w:p>
    <w:p>
      <w:pPr>
        <w:pStyle w:val="Style17"/>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（一）表揚名額：</w:t>
      </w:r>
    </w:p>
    <w:p>
      <w:pPr>
        <w:pStyle w:val="Style17"/>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1.</w:t>
      </w:r>
      <w:r>
        <w:rPr>
          <w:rFonts w:ascii="標楷體" w:hAnsi="標楷體" w:eastAsia="標楷體"/>
          <w:bCs/>
          <w:color w:val="000000"/>
          <w:sz w:val="28"/>
          <w:szCs w:val="28"/>
        </w:rPr>
        <w:t>終身奉獻獎至多二名，每人以一次為限。</w:t>
      </w:r>
    </w:p>
    <w:p>
      <w:pPr>
        <w:pStyle w:val="Style17"/>
        <w:tabs>
          <w:tab w:val="clear" w:pos="480"/>
        </w:tabs>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2.</w:t>
      </w:r>
      <w:r>
        <w:rPr>
          <w:rFonts w:ascii="標楷體" w:hAnsi="標楷體" w:eastAsia="標楷體"/>
          <w:bCs/>
          <w:color w:val="000000"/>
          <w:sz w:val="28"/>
          <w:szCs w:val="28"/>
        </w:rPr>
        <w:t>團體獎及個人獎各十五名，凡曾獲本部表揚之團體獎或個人獎，自獲表揚年度之次年起五年內不得參選同一獎項。</w:t>
      </w:r>
    </w:p>
    <w:p>
      <w:pPr>
        <w:pStyle w:val="Style17"/>
        <w:tabs>
          <w:tab w:val="clear" w:pos="480"/>
        </w:tabs>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3.</w:t>
      </w:r>
      <w:r>
        <w:rPr>
          <w:rFonts w:ascii="標楷體" w:hAnsi="標楷體" w:eastAsia="標楷體"/>
          <w:bCs/>
          <w:color w:val="000000"/>
          <w:sz w:val="28"/>
          <w:szCs w:val="28"/>
        </w:rPr>
        <w:t>經決審會議決議後得從缺或增加表揚名額。</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（二）表揚方式：</w:t>
      </w:r>
    </w:p>
    <w:p>
      <w:pPr>
        <w:pStyle w:val="Style17"/>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1.</w:t>
      </w:r>
      <w:r>
        <w:rPr>
          <w:rFonts w:ascii="標楷體" w:hAnsi="標楷體" w:eastAsia="標楷體"/>
          <w:bCs/>
          <w:color w:val="000000"/>
          <w:sz w:val="28"/>
          <w:szCs w:val="28"/>
        </w:rPr>
        <w:t>本部獲獎者，由本部頒發獎狀及獎座，並以公開儀式辦理表揚。</w:t>
      </w:r>
    </w:p>
    <w:p>
      <w:pPr>
        <w:pStyle w:val="Style17"/>
        <w:tabs>
          <w:tab w:val="clear" w:pos="480"/>
        </w:tabs>
        <w:overflowPunct w:val="false"/>
        <w:snapToGrid w:val="false"/>
        <w:spacing w:lineRule="auto" w:line="360"/>
        <w:ind w:left="985" w:right="0" w:hanging="277"/>
        <w:jc w:val="both"/>
        <w:rPr>
          <w:rFonts w:ascii="標楷體" w:hAnsi="標楷體" w:eastAsia="標楷體"/>
          <w:bCs/>
          <w:color w:val="000000"/>
          <w:sz w:val="28"/>
          <w:szCs w:val="28"/>
        </w:rPr>
      </w:pPr>
      <w:r>
        <w:rPr>
          <w:rFonts w:eastAsia="標楷體" w:ascii="標楷體" w:hAnsi="標楷體"/>
          <w:bCs/>
          <w:color w:val="000000"/>
          <w:sz w:val="28"/>
          <w:szCs w:val="28"/>
        </w:rPr>
        <w:t>2.</w:t>
      </w:r>
      <w:r>
        <w:rPr>
          <w:rFonts w:ascii="標楷體" w:hAnsi="標楷體" w:eastAsia="標楷體"/>
          <w:bCs/>
          <w:color w:val="000000"/>
          <w:sz w:val="28"/>
          <w:szCs w:val="28"/>
        </w:rPr>
        <w:t>經各直轄市、縣（市）主管教育行政機關推薦，未獲本部表揚之團體及個人，得由各主管教育行政機關自行辦理表揚。</w:t>
      </w:r>
    </w:p>
    <w:p>
      <w:pPr>
        <w:pStyle w:val="Style17"/>
        <w:overflowPunct w:val="false"/>
        <w:snapToGrid w:val="false"/>
        <w:spacing w:lineRule="auto" w:line="360"/>
        <w:jc w:val="both"/>
        <w:rPr>
          <w:rFonts w:ascii="標楷體" w:hAnsi="標楷體" w:eastAsia="標楷體"/>
          <w:bCs/>
          <w:color w:val="000000"/>
          <w:sz w:val="28"/>
          <w:szCs w:val="28"/>
        </w:rPr>
      </w:pPr>
      <w:r>
        <w:rPr>
          <w:rFonts w:ascii="標楷體" w:hAnsi="標楷體" w:eastAsia="標楷體"/>
          <w:bCs/>
          <w:color w:val="000000"/>
          <w:sz w:val="28"/>
          <w:szCs w:val="28"/>
        </w:rPr>
        <w:t>九、注意事項：</w:t>
      </w:r>
    </w:p>
    <w:p>
      <w:pPr>
        <w:pStyle w:val="Style17"/>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（一）推薦表及申請推薦繳交之證明書及文件相關資料，不予退還。</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二）本部得運用獲獎之團體或個人所送推薦表及申請推薦繳交之證明書及文件相關資料之文字或圖片於本獎項推廣宣傳等非營利出版（例如：編製得獎者名錄）及活動使用。獲獎之推薦資料於當年度頒獎典禮結束後存放本部，保存年限為五年。未獲獎之推薦資料，應於頒獎典禮結束後予以銷毀。</w:t>
      </w:r>
    </w:p>
    <w:p>
      <w:pPr>
        <w:pStyle w:val="Style17"/>
        <w:tabs>
          <w:tab w:val="clear" w:pos="480"/>
        </w:tabs>
        <w:overflowPunct w:val="false"/>
        <w:snapToGrid w:val="false"/>
        <w:spacing w:lineRule="auto" w:line="360"/>
        <w:ind w:left="979" w:right="0" w:hanging="840"/>
        <w:jc w:val="both"/>
        <w:rPr>
          <w:rFonts w:ascii="標楷體" w:hAnsi="標楷體" w:eastAsia="標楷體"/>
          <w:bCs/>
          <w:color w:val="000000"/>
          <w:sz w:val="28"/>
          <w:szCs w:val="28"/>
        </w:rPr>
      </w:pPr>
      <w:r>
        <w:rPr>
          <w:rFonts w:ascii="標楷體" w:hAnsi="標楷體" w:eastAsia="標楷體"/>
          <w:bCs/>
          <w:color w:val="000000"/>
          <w:sz w:val="28"/>
          <w:szCs w:val="28"/>
        </w:rPr>
        <w:t>（三）各推薦單位對受推薦者或團體參選之具體事蹟，應審慎查核。獲獎者事蹟，如經證實有不實者，本部得撤銷其得獎資格並追繳獎狀及獎座。</w:t>
      </w:r>
    </w:p>
    <w:p>
      <w:pPr>
        <w:pStyle w:val="Style17"/>
        <w:tabs>
          <w:tab w:val="clear" w:pos="480"/>
        </w:tabs>
        <w:overflowPunct w:val="false"/>
        <w:snapToGrid w:val="false"/>
        <w:spacing w:lineRule="auto" w:line="360"/>
        <w:ind w:left="979" w:right="0" w:hanging="840"/>
        <w:jc w:val="both"/>
        <w:rPr/>
      </w:pPr>
      <w:r>
        <w:rPr>
          <w:rStyle w:val="Style14"/>
          <w:rFonts w:ascii="標楷體" w:hAnsi="標楷體" w:eastAsia="標楷體"/>
          <w:bCs/>
          <w:color w:val="000000"/>
          <w:sz w:val="28"/>
          <w:szCs w:val="28"/>
        </w:rPr>
        <w:t>（四）得獎之自然人、法人或非法人團體之負責人，如有違反相關法令規定，經檢察官提起公訴或各該主管機關認定者，本部得撤銷或廢止其得獎資格及追回獎項。</w:t>
      </w:r>
    </w:p>
    <w:sectPr>
      <w:type w:val="nextPage"/>
      <w:pgSz w:w="11906" w:h="16838"/>
      <w:pgMar w:left="1021" w:right="1021" w:header="0" w:top="1440" w:footer="0" w:bottom="1440"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fixed"/>
  </w:font>
</w:fonts>
</file>

<file path=word/settings.xml><?xml version="1.0" encoding="utf-8"?>
<w:settings xmlns:w="http://schemas.openxmlformats.org/wordprocessingml/2006/main">
  <w:zoom w:percent="85"/>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before="0" w:after="0"/>
      <w:jc w:val="left"/>
      <w:textAlignment w:val="auto"/>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character" w:styleId="Style14">
    <w:name w:val="預設段落字型"/>
    <w:qFormat/>
    <w:rPr/>
  </w:style>
  <w:style w:type="character" w:styleId="Style15">
    <w:name w:val="頁首 字元"/>
    <w:basedOn w:val="Style14"/>
    <w:qFormat/>
    <w:rPr>
      <w:sz w:val="20"/>
      <w:szCs w:val="20"/>
    </w:rPr>
  </w:style>
  <w:style w:type="character" w:styleId="Style16">
    <w:name w:val="頁尾 字元"/>
    <w:basedOn w:val="Style14"/>
    <w:qFormat/>
    <w:rPr>
      <w:sz w:val="20"/>
      <w:szCs w:val="20"/>
    </w:rPr>
  </w:style>
  <w:style w:type="paragraph" w:styleId="Style17">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textAlignment w:val="auto"/>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Style18">
    <w:name w:val="頁首與頁尾"/>
    <w:basedOn w:val="Normal"/>
    <w:qFormat/>
    <w:pPr>
      <w:suppressLineNumbers/>
      <w:tabs>
        <w:tab w:val="clear" w:pos="480"/>
        <w:tab w:val="center" w:pos="4819" w:leader="none"/>
        <w:tab w:val="right" w:pos="9638" w:leader="none"/>
      </w:tabs>
    </w:pPr>
    <w:rPr/>
  </w:style>
  <w:style w:type="paragraph" w:styleId="Style19">
    <w:name w:val="Header"/>
    <w:basedOn w:val="Style17"/>
    <w:pPr>
      <w:tabs>
        <w:tab w:val="clear" w:pos="480"/>
        <w:tab w:val="center" w:pos="4153" w:leader="none"/>
        <w:tab w:val="right" w:pos="8306" w:leader="none"/>
      </w:tabs>
      <w:suppressAutoHyphens w:val="true"/>
      <w:snapToGrid w:val="false"/>
    </w:pPr>
    <w:rPr>
      <w:sz w:val="20"/>
      <w:szCs w:val="20"/>
    </w:rPr>
  </w:style>
  <w:style w:type="paragraph" w:styleId="Style20">
    <w:name w:val="Footer"/>
    <w:basedOn w:val="Style17"/>
    <w:pPr>
      <w:tabs>
        <w:tab w:val="clear" w:pos="480"/>
        <w:tab w:val="center" w:pos="4153" w:leader="none"/>
        <w:tab w:val="right" w:pos="8306" w:leader="none"/>
      </w:tabs>
      <w:suppressAutoHyphens w:val="true"/>
      <w:snapToGrid w:val="false"/>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NDC_ODF_Application_Tools_/3.3.3$Windows_X86_64 LibreOffice_project/1e1e6a7b6182699804c71e64ce03ac02dcaacc3f</Application>
  <AppVersion>15.0000</AppVersion>
  <Pages>3</Pages>
  <Words>1318</Words>
  <Characters>1333</Characters>
  <CharactersWithSpaces>1333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2025-04-17T07:09:00Z</dcterms:created>
  <dc:creator>陳穎琳</dc:creator>
  <dc:description/>
  <dc:language>zh-TW</dc:language>
  <cp:lastModifiedBy/>
  <cp:lastPrinted>2024-08-12T08:25:00Z</cp:lastPrinted>
  <dcterms:modified xsi:type="dcterms:W3CDTF">2025-04-18T12:49:36Z</dcterms:modified>
  <cp:revision>4</cp:revision>
  <dc:subject/>
  <dc:title/>
</cp:coreProperties>
</file>