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BC7C6" w14:textId="77777777" w:rsidR="00806489" w:rsidRPr="00A34485" w:rsidRDefault="00806489" w:rsidP="00BB3F13">
      <w:bookmarkStart w:id="0" w:name="_GoBack"/>
      <w:bookmarkEnd w:id="0"/>
    </w:p>
    <w:p w14:paraId="12DEF9BD" w14:textId="77777777" w:rsidR="00806489" w:rsidRPr="00A34485" w:rsidRDefault="00806489" w:rsidP="00BB3F13"/>
    <w:p w14:paraId="2C5BF70F" w14:textId="77777777" w:rsidR="00806489" w:rsidRPr="00A34485" w:rsidRDefault="00806489" w:rsidP="00BB3F13"/>
    <w:p w14:paraId="5F21C54D" w14:textId="76F7D5DC" w:rsidR="00806489" w:rsidRPr="00782668" w:rsidRDefault="00806489" w:rsidP="00782668">
      <w:pPr>
        <w:ind w:firstLineChars="25" w:firstLine="140"/>
        <w:jc w:val="center"/>
        <w:rPr>
          <w:b/>
          <w:bCs/>
          <w:sz w:val="56"/>
          <w:szCs w:val="56"/>
        </w:rPr>
      </w:pPr>
      <w:r w:rsidRPr="00782668">
        <w:rPr>
          <w:b/>
          <w:bCs/>
          <w:sz w:val="56"/>
          <w:szCs w:val="56"/>
        </w:rPr>
        <w:t>113</w:t>
      </w:r>
      <w:r w:rsidRPr="00782668">
        <w:rPr>
          <w:b/>
          <w:bCs/>
          <w:sz w:val="56"/>
          <w:szCs w:val="56"/>
        </w:rPr>
        <w:t>年嘉義縣節電夥伴節能</w:t>
      </w:r>
      <w:r w:rsidR="000E4161" w:rsidRPr="00782668">
        <w:rPr>
          <w:b/>
          <w:bCs/>
          <w:sz w:val="56"/>
          <w:szCs w:val="56"/>
        </w:rPr>
        <w:t>行動</w:t>
      </w:r>
      <w:r w:rsidRPr="00782668">
        <w:rPr>
          <w:b/>
          <w:bCs/>
          <w:sz w:val="56"/>
          <w:szCs w:val="56"/>
        </w:rPr>
        <w:t>計畫</w:t>
      </w:r>
    </w:p>
    <w:p w14:paraId="2D9B066C" w14:textId="77777777" w:rsidR="00806489" w:rsidRPr="00A34485" w:rsidRDefault="00806489" w:rsidP="00BB3F13"/>
    <w:p w14:paraId="2F5222D8" w14:textId="77777777" w:rsidR="00806489" w:rsidRDefault="00806489" w:rsidP="00BB3F13"/>
    <w:p w14:paraId="16AD9DDE" w14:textId="77777777" w:rsidR="00782668" w:rsidRDefault="00782668" w:rsidP="00BB3F13"/>
    <w:p w14:paraId="78D32191" w14:textId="77777777" w:rsidR="00782668" w:rsidRPr="00A34485" w:rsidRDefault="00782668" w:rsidP="00BB3F13"/>
    <w:p w14:paraId="7D0F887D" w14:textId="77777777" w:rsidR="00806489" w:rsidRPr="00A34485" w:rsidRDefault="00806489" w:rsidP="00BB3F13"/>
    <w:p w14:paraId="57F42350" w14:textId="50E60922" w:rsidR="00806489" w:rsidRPr="00782668" w:rsidRDefault="00842135" w:rsidP="00842135">
      <w:pPr>
        <w:ind w:firstLineChars="0" w:firstLine="0"/>
        <w:jc w:val="center"/>
        <w:rPr>
          <w:b/>
          <w:bCs/>
          <w:sz w:val="56"/>
          <w:szCs w:val="56"/>
        </w:rPr>
      </w:pPr>
      <w:r w:rsidRPr="00BD3B23">
        <w:rPr>
          <w:rFonts w:hint="eastAsia"/>
          <w:b/>
          <w:bCs/>
          <w:sz w:val="56"/>
          <w:szCs w:val="56"/>
        </w:rPr>
        <w:t>節能規劃師訓練</w:t>
      </w:r>
      <w:r w:rsidRPr="00782668">
        <w:rPr>
          <w:b/>
          <w:bCs/>
          <w:sz w:val="56"/>
          <w:szCs w:val="56"/>
        </w:rPr>
        <w:t>規劃書</w:t>
      </w:r>
    </w:p>
    <w:p w14:paraId="4BFB904C" w14:textId="77777777" w:rsidR="00806489" w:rsidRPr="00A34485" w:rsidRDefault="00806489" w:rsidP="00BB3F13"/>
    <w:p w14:paraId="0CDBA474" w14:textId="77777777" w:rsidR="00806489" w:rsidRPr="00A34485" w:rsidRDefault="00806489" w:rsidP="00BB3F13"/>
    <w:p w14:paraId="6140BEBF" w14:textId="77777777" w:rsidR="00806489" w:rsidRDefault="00806489" w:rsidP="00BB3F13"/>
    <w:p w14:paraId="19B0C31A" w14:textId="77777777" w:rsidR="00782668" w:rsidRDefault="00782668" w:rsidP="00BB3F13"/>
    <w:p w14:paraId="108FF683" w14:textId="77777777" w:rsidR="00782668" w:rsidRDefault="00782668" w:rsidP="00BB3F13"/>
    <w:p w14:paraId="4EFCC948" w14:textId="77777777" w:rsidR="00782668" w:rsidRDefault="00782668" w:rsidP="00BB3F13"/>
    <w:p w14:paraId="10501685" w14:textId="77777777" w:rsidR="00782668" w:rsidRDefault="00782668" w:rsidP="00BB3F13"/>
    <w:p w14:paraId="27DFB6DA" w14:textId="77777777" w:rsidR="00782668" w:rsidRPr="00A34485" w:rsidRDefault="00782668" w:rsidP="00BB3F13"/>
    <w:p w14:paraId="0BE27F9B" w14:textId="77777777" w:rsidR="00806489" w:rsidRPr="00A34485" w:rsidRDefault="00806489" w:rsidP="00BB3F13"/>
    <w:p w14:paraId="0AD2B7E6" w14:textId="77777777" w:rsidR="00806489" w:rsidRPr="00782668" w:rsidRDefault="00806489" w:rsidP="00782668">
      <w:pPr>
        <w:spacing w:beforeLines="0" w:before="0" w:afterLines="0" w:after="0"/>
        <w:ind w:firstLine="880"/>
        <w:jc w:val="center"/>
        <w:rPr>
          <w:b/>
          <w:bCs/>
          <w:sz w:val="44"/>
          <w:szCs w:val="44"/>
        </w:rPr>
      </w:pPr>
      <w:r w:rsidRPr="00782668">
        <w:rPr>
          <w:b/>
          <w:bCs/>
          <w:sz w:val="44"/>
          <w:szCs w:val="44"/>
        </w:rPr>
        <w:t>主辦單位：嘉義縣環境保護局</w:t>
      </w:r>
    </w:p>
    <w:p w14:paraId="50E5A43B" w14:textId="77777777" w:rsidR="00806489" w:rsidRPr="00782668" w:rsidRDefault="00806489" w:rsidP="00782668">
      <w:pPr>
        <w:spacing w:beforeLines="0" w:before="0" w:afterLines="0" w:after="0"/>
        <w:ind w:firstLine="880"/>
        <w:jc w:val="center"/>
        <w:rPr>
          <w:b/>
          <w:bCs/>
          <w:sz w:val="44"/>
          <w:szCs w:val="44"/>
        </w:rPr>
      </w:pPr>
      <w:r w:rsidRPr="00782668">
        <w:rPr>
          <w:b/>
          <w:bCs/>
          <w:sz w:val="44"/>
          <w:szCs w:val="44"/>
        </w:rPr>
        <w:t>委辦單位：方達科技股份有限公司</w:t>
      </w:r>
    </w:p>
    <w:p w14:paraId="14DA55AF" w14:textId="2F2ACC10" w:rsidR="00806489" w:rsidRPr="00A34485" w:rsidRDefault="00806489" w:rsidP="00782668">
      <w:pPr>
        <w:spacing w:beforeLines="0" w:before="0" w:afterLines="0" w:after="0"/>
        <w:ind w:firstLine="880"/>
        <w:jc w:val="center"/>
      </w:pPr>
      <w:r w:rsidRPr="00782668">
        <w:rPr>
          <w:b/>
          <w:bCs/>
          <w:sz w:val="44"/>
          <w:szCs w:val="44"/>
        </w:rPr>
        <w:t>中華民國</w:t>
      </w:r>
      <w:r w:rsidRPr="00782668">
        <w:rPr>
          <w:b/>
          <w:bCs/>
          <w:sz w:val="44"/>
          <w:szCs w:val="44"/>
        </w:rPr>
        <w:t xml:space="preserve">   11</w:t>
      </w:r>
      <w:r w:rsidR="00842135">
        <w:rPr>
          <w:rFonts w:hint="eastAsia"/>
          <w:b/>
          <w:bCs/>
          <w:sz w:val="44"/>
          <w:szCs w:val="44"/>
        </w:rPr>
        <w:t>4</w:t>
      </w:r>
      <w:r w:rsidRPr="00782668">
        <w:rPr>
          <w:b/>
          <w:bCs/>
          <w:sz w:val="44"/>
          <w:szCs w:val="44"/>
        </w:rPr>
        <w:t xml:space="preserve">   </w:t>
      </w:r>
      <w:r w:rsidRPr="00782668">
        <w:rPr>
          <w:b/>
          <w:bCs/>
          <w:sz w:val="44"/>
          <w:szCs w:val="44"/>
        </w:rPr>
        <w:t>年</w:t>
      </w:r>
      <w:r w:rsidRPr="00782668">
        <w:rPr>
          <w:b/>
          <w:bCs/>
          <w:sz w:val="44"/>
          <w:szCs w:val="44"/>
        </w:rPr>
        <w:t xml:space="preserve">   </w:t>
      </w:r>
      <w:r w:rsidR="000E4161" w:rsidRPr="00782668">
        <w:rPr>
          <w:b/>
          <w:bCs/>
          <w:sz w:val="44"/>
          <w:szCs w:val="44"/>
        </w:rPr>
        <w:t>1</w:t>
      </w:r>
      <w:r w:rsidRPr="00782668">
        <w:rPr>
          <w:b/>
          <w:bCs/>
          <w:sz w:val="44"/>
          <w:szCs w:val="44"/>
        </w:rPr>
        <w:t xml:space="preserve">   </w:t>
      </w:r>
      <w:r w:rsidRPr="00782668">
        <w:rPr>
          <w:b/>
          <w:bCs/>
          <w:sz w:val="44"/>
          <w:szCs w:val="44"/>
        </w:rPr>
        <w:t>月</w:t>
      </w:r>
      <w:r w:rsidRPr="00A34485">
        <w:br w:type="page"/>
      </w:r>
    </w:p>
    <w:p w14:paraId="177C86BE" w14:textId="77777777" w:rsidR="00B66A2B" w:rsidRPr="00A34485" w:rsidRDefault="00B66A2B" w:rsidP="00BB3F13"/>
    <w:p w14:paraId="4D917A3F" w14:textId="77777777" w:rsidR="00B66A2B" w:rsidRPr="00A34485" w:rsidRDefault="00B66A2B" w:rsidP="00BB3F13">
      <w:pPr>
        <w:sectPr w:rsidR="00B66A2B" w:rsidRPr="00A34485" w:rsidSect="008064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p w14:paraId="3E1AD8C7" w14:textId="26FB2BED" w:rsidR="007F1877" w:rsidRPr="009F435A" w:rsidRDefault="007F1877" w:rsidP="009F435A">
      <w:pPr>
        <w:pStyle w:val="3"/>
        <w:numPr>
          <w:ilvl w:val="0"/>
          <w:numId w:val="3"/>
        </w:numPr>
        <w:spacing w:line="312" w:lineRule="auto"/>
        <w:ind w:left="601" w:hanging="601"/>
        <w:rPr>
          <w:rFonts w:cs="Times New Roman"/>
        </w:rPr>
      </w:pPr>
      <w:r w:rsidRPr="009F435A">
        <w:rPr>
          <w:rFonts w:cs="Times New Roman" w:hint="eastAsia"/>
        </w:rPr>
        <w:lastRenderedPageBreak/>
        <w:t>目的</w:t>
      </w:r>
    </w:p>
    <w:p w14:paraId="5B3FC8D0" w14:textId="77777777" w:rsidR="00C245BE" w:rsidRPr="00755F2D" w:rsidRDefault="00C245BE" w:rsidP="00C245BE">
      <w:r w:rsidRPr="00755F2D">
        <w:rPr>
          <w:rFonts w:hint="eastAsia"/>
        </w:rPr>
        <w:t>因應</w:t>
      </w:r>
      <w:r w:rsidRPr="00755F2D">
        <w:rPr>
          <w:rFonts w:hint="eastAsia"/>
        </w:rPr>
        <w:t>2050</w:t>
      </w:r>
      <w:proofErr w:type="gramStart"/>
      <w:r w:rsidRPr="00755F2D">
        <w:rPr>
          <w:rFonts w:hint="eastAsia"/>
        </w:rPr>
        <w:t>淨零轉型</w:t>
      </w:r>
      <w:proofErr w:type="gramEnd"/>
      <w:r w:rsidRPr="00755F2D">
        <w:rPr>
          <w:rFonts w:hint="eastAsia"/>
        </w:rPr>
        <w:t>，臺灣於</w:t>
      </w:r>
      <w:r w:rsidRPr="00755F2D">
        <w:rPr>
          <w:rFonts w:hint="eastAsia"/>
        </w:rPr>
        <w:t>111</w:t>
      </w:r>
      <w:r w:rsidRPr="00755F2D">
        <w:rPr>
          <w:rFonts w:hint="eastAsia"/>
        </w:rPr>
        <w:t>年</w:t>
      </w:r>
      <w:r w:rsidRPr="00755F2D">
        <w:rPr>
          <w:rFonts w:hint="eastAsia"/>
        </w:rPr>
        <w:t>3</w:t>
      </w:r>
      <w:r w:rsidRPr="00755F2D">
        <w:rPr>
          <w:rFonts w:hint="eastAsia"/>
        </w:rPr>
        <w:t>月及</w:t>
      </w:r>
      <w:r w:rsidRPr="00755F2D">
        <w:rPr>
          <w:rFonts w:hint="eastAsia"/>
        </w:rPr>
        <w:t>12</w:t>
      </w:r>
      <w:r w:rsidRPr="00755F2D">
        <w:rPr>
          <w:rFonts w:hint="eastAsia"/>
        </w:rPr>
        <w:t>月分別公布「臺灣</w:t>
      </w:r>
      <w:r w:rsidRPr="00755F2D">
        <w:rPr>
          <w:rFonts w:hint="eastAsia"/>
        </w:rPr>
        <w:t>2050</w:t>
      </w:r>
      <w:proofErr w:type="gramStart"/>
      <w:r w:rsidRPr="00755F2D">
        <w:rPr>
          <w:rFonts w:hint="eastAsia"/>
        </w:rPr>
        <w:t>淨零排放</w:t>
      </w:r>
      <w:proofErr w:type="gramEnd"/>
      <w:r w:rsidRPr="00755F2D">
        <w:rPr>
          <w:rFonts w:hint="eastAsia"/>
        </w:rPr>
        <w:t>路徑及策略總說明」及「</w:t>
      </w:r>
      <w:r w:rsidRPr="00755F2D">
        <w:rPr>
          <w:rFonts w:hint="eastAsia"/>
        </w:rPr>
        <w:t>12</w:t>
      </w:r>
      <w:r w:rsidRPr="00755F2D">
        <w:rPr>
          <w:rFonts w:hint="eastAsia"/>
        </w:rPr>
        <w:t>項關鍵戰略行動計畫」，並於</w:t>
      </w:r>
      <w:r w:rsidRPr="00755F2D">
        <w:rPr>
          <w:rFonts w:hint="eastAsia"/>
        </w:rPr>
        <w:t>112</w:t>
      </w:r>
      <w:r w:rsidRPr="00755F2D">
        <w:rPr>
          <w:rFonts w:hint="eastAsia"/>
        </w:rPr>
        <w:t>年</w:t>
      </w:r>
      <w:r w:rsidRPr="00755F2D">
        <w:rPr>
          <w:rFonts w:hint="eastAsia"/>
        </w:rPr>
        <w:t>1</w:t>
      </w:r>
      <w:r w:rsidRPr="00755F2D">
        <w:rPr>
          <w:rFonts w:hint="eastAsia"/>
        </w:rPr>
        <w:t>月核定「</w:t>
      </w:r>
      <w:proofErr w:type="gramStart"/>
      <w:r w:rsidRPr="00755F2D">
        <w:rPr>
          <w:rFonts w:hint="eastAsia"/>
        </w:rPr>
        <w:t>淨零排放</w:t>
      </w:r>
      <w:proofErr w:type="gramEnd"/>
      <w:r w:rsidRPr="00755F2D">
        <w:rPr>
          <w:rFonts w:hint="eastAsia"/>
        </w:rPr>
        <w:t>路徑</w:t>
      </w:r>
      <w:r w:rsidRPr="00755F2D">
        <w:rPr>
          <w:rFonts w:hint="eastAsia"/>
        </w:rPr>
        <w:t>112-115</w:t>
      </w:r>
      <w:r w:rsidRPr="00755F2D">
        <w:rPr>
          <w:rFonts w:hint="eastAsia"/>
        </w:rPr>
        <w:t>年綱要計畫」，針對</w:t>
      </w:r>
      <w:proofErr w:type="gramStart"/>
      <w:r w:rsidRPr="00755F2D">
        <w:rPr>
          <w:rFonts w:hint="eastAsia"/>
        </w:rPr>
        <w:t>淨零碳排</w:t>
      </w:r>
      <w:proofErr w:type="gramEnd"/>
      <w:r w:rsidRPr="00755F2D">
        <w:rPr>
          <w:rFonts w:hint="eastAsia"/>
        </w:rPr>
        <w:t>目標進行各面向的減緩與調適。</w:t>
      </w:r>
    </w:p>
    <w:p w14:paraId="3907CB13" w14:textId="77777777" w:rsidR="00C245BE" w:rsidRDefault="00C245BE" w:rsidP="00C245BE">
      <w:r w:rsidRPr="00755F2D">
        <w:rPr>
          <w:rFonts w:hint="eastAsia"/>
        </w:rPr>
        <w:t>在目標設定上，設定了能源轉型、產業轉型、生活轉型及社會轉型等</w:t>
      </w:r>
      <w:r w:rsidRPr="00755F2D">
        <w:rPr>
          <w:rFonts w:hint="eastAsia"/>
        </w:rPr>
        <w:t>4</w:t>
      </w:r>
      <w:r w:rsidRPr="00755F2D">
        <w:rPr>
          <w:rFonts w:hint="eastAsia"/>
        </w:rPr>
        <w:t>個目標。其中，節能</w:t>
      </w:r>
      <w:proofErr w:type="gramStart"/>
      <w:r w:rsidRPr="00755F2D">
        <w:rPr>
          <w:rFonts w:hint="eastAsia"/>
        </w:rPr>
        <w:t>是淨零策略</w:t>
      </w:r>
      <w:proofErr w:type="gramEnd"/>
      <w:r w:rsidRPr="00755F2D">
        <w:rPr>
          <w:rFonts w:hint="eastAsia"/>
        </w:rPr>
        <w:t>的重要一環，包含了</w:t>
      </w:r>
      <w:r w:rsidRPr="00755F2D">
        <w:rPr>
          <w:rFonts w:hint="eastAsia"/>
        </w:rPr>
        <w:t>5</w:t>
      </w:r>
      <w:r w:rsidRPr="00755F2D">
        <w:rPr>
          <w:rFonts w:hint="eastAsia"/>
        </w:rPr>
        <w:t>大節能領域，分別是工業節能、商業節能、住宅節能、運具節能及科技節能等。本計畫則對應到了住宅節能部分，強調在住宅領域實施節能措施的重要性。</w:t>
      </w:r>
    </w:p>
    <w:p w14:paraId="7B0666E0" w14:textId="77777777" w:rsidR="00C245BE" w:rsidRPr="00A34485" w:rsidRDefault="00C245BE" w:rsidP="00C245BE">
      <w:r>
        <w:rPr>
          <w:rFonts w:hint="eastAsia"/>
        </w:rPr>
        <w:t>本項</w:t>
      </w:r>
      <w:r w:rsidRPr="00BD3B23">
        <w:rPr>
          <w:rFonts w:hint="eastAsia"/>
        </w:rPr>
        <w:t>工作的目的在於培養對</w:t>
      </w:r>
      <w:proofErr w:type="gramStart"/>
      <w:r w:rsidRPr="00BD3B23">
        <w:rPr>
          <w:rFonts w:hint="eastAsia"/>
        </w:rPr>
        <w:t>建築物減碳項目</w:t>
      </w:r>
      <w:proofErr w:type="gramEnd"/>
      <w:r w:rsidRPr="00BD3B23">
        <w:rPr>
          <w:rFonts w:hint="eastAsia"/>
        </w:rPr>
        <w:t>的掌握及碳排放計算能力較為深入的規劃師，</w:t>
      </w:r>
      <w:r w:rsidRPr="00755F2D">
        <w:rPr>
          <w:rFonts w:hint="eastAsia"/>
        </w:rPr>
        <w:t>課程將涵蓋節能技術與設備的介紹、建築節能的方法、能源管理的理念，以及相關的政策法規等。這將有助於培養節能規劃師在住宅節能方面的專業知識和技能，以應對台灣達成</w:t>
      </w:r>
      <w:r w:rsidRPr="00755F2D">
        <w:rPr>
          <w:rFonts w:hint="eastAsia"/>
        </w:rPr>
        <w:t>2050</w:t>
      </w:r>
      <w:proofErr w:type="gramStart"/>
      <w:r w:rsidRPr="00755F2D">
        <w:rPr>
          <w:rFonts w:hint="eastAsia"/>
        </w:rPr>
        <w:t>淨零目標</w:t>
      </w:r>
      <w:proofErr w:type="gramEnd"/>
      <w:r w:rsidRPr="00755F2D">
        <w:rPr>
          <w:rFonts w:hint="eastAsia"/>
        </w:rPr>
        <w:t>所面臨的挑戰，同時推動永續發展和環保意識在社會中的普及。</w:t>
      </w:r>
    </w:p>
    <w:p w14:paraId="7B201BAF" w14:textId="58FE7EAD" w:rsidR="007F1877" w:rsidRPr="009F435A" w:rsidRDefault="00EA37ED" w:rsidP="009F435A">
      <w:pPr>
        <w:pStyle w:val="3"/>
        <w:numPr>
          <w:ilvl w:val="0"/>
          <w:numId w:val="3"/>
        </w:numPr>
        <w:spacing w:line="312" w:lineRule="auto"/>
        <w:ind w:left="601" w:hanging="601"/>
        <w:rPr>
          <w:rFonts w:cs="Times New Roman"/>
        </w:rPr>
      </w:pPr>
      <w:r>
        <w:rPr>
          <w:rFonts w:cs="Times New Roman" w:hint="eastAsia"/>
        </w:rPr>
        <w:t>辦理單位</w:t>
      </w:r>
    </w:p>
    <w:p w14:paraId="029B40A4" w14:textId="085E81B4" w:rsidR="00EA37ED" w:rsidRDefault="00EA37ED" w:rsidP="00EA37ED">
      <w:pPr>
        <w:ind w:leftChars="253" w:left="708" w:firstLineChars="0" w:firstLine="1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主辦單位：嘉義縣環境保護局</w:t>
      </w:r>
    </w:p>
    <w:p w14:paraId="2DC097A9" w14:textId="2CA29CC0" w:rsidR="00EA37ED" w:rsidRPr="003F2081" w:rsidRDefault="00EA37ED" w:rsidP="00EA37ED">
      <w:pPr>
        <w:ind w:leftChars="253" w:left="708" w:firstLineChars="0" w:firstLine="1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執行單位：方達科技股份有限公司</w:t>
      </w:r>
    </w:p>
    <w:p w14:paraId="322ABD5F" w14:textId="6A98E45C" w:rsidR="00EA37ED" w:rsidRDefault="00C245BE" w:rsidP="009F435A">
      <w:pPr>
        <w:pStyle w:val="3"/>
        <w:numPr>
          <w:ilvl w:val="0"/>
          <w:numId w:val="3"/>
        </w:numPr>
        <w:spacing w:line="312" w:lineRule="auto"/>
        <w:ind w:left="601" w:hanging="601"/>
        <w:rPr>
          <w:rFonts w:cs="Times New Roman"/>
        </w:rPr>
      </w:pPr>
      <w:r>
        <w:rPr>
          <w:rFonts w:hint="eastAsia"/>
        </w:rPr>
        <w:t>參加</w:t>
      </w:r>
      <w:r w:rsidR="00EA37ED">
        <w:rPr>
          <w:rFonts w:hint="eastAsia"/>
        </w:rPr>
        <w:t>對象</w:t>
      </w:r>
    </w:p>
    <w:p w14:paraId="0EA0C534" w14:textId="073A55D0" w:rsidR="00C245BE" w:rsidRDefault="00C245BE" w:rsidP="00C245BE">
      <w:pPr>
        <w:ind w:leftChars="253" w:left="708" w:firstLineChars="0" w:firstLine="1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本縣機關學校、服務業，及有興趣之民眾</w:t>
      </w:r>
    </w:p>
    <w:p w14:paraId="48BA05ED" w14:textId="6E48AFC0" w:rsidR="00C245BE" w:rsidRDefault="00C245BE" w:rsidP="00C245BE">
      <w:pPr>
        <w:ind w:leftChars="253" w:left="708" w:firstLineChars="0" w:firstLine="1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本縣</w:t>
      </w:r>
      <w:proofErr w:type="gramStart"/>
      <w:r>
        <w:rPr>
          <w:rFonts w:hint="eastAsia"/>
        </w:rPr>
        <w:t>環教志</w:t>
      </w:r>
      <w:proofErr w:type="gramEnd"/>
      <w:r>
        <w:rPr>
          <w:rFonts w:hint="eastAsia"/>
        </w:rPr>
        <w:t>工</w:t>
      </w:r>
    </w:p>
    <w:p w14:paraId="23822B1E" w14:textId="2414BA29" w:rsidR="00C245BE" w:rsidRDefault="00C245BE" w:rsidP="00747ECE">
      <w:pPr>
        <w:ind w:leftChars="253" w:left="1274" w:hangingChars="202" w:hanging="566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課程全程參與者，</w:t>
      </w:r>
      <w:r w:rsidR="00747ECE">
        <w:rPr>
          <w:rFonts w:hint="eastAsia"/>
        </w:rPr>
        <w:t>提供公務人員學習時數、</w:t>
      </w:r>
      <w:r w:rsidR="00527E07">
        <w:t>環境教育時數</w:t>
      </w:r>
      <w:r w:rsidR="00747ECE">
        <w:t>及教師研習時數</w:t>
      </w:r>
      <w:r w:rsidR="00747ECE">
        <w:rPr>
          <w:rFonts w:hint="eastAsia"/>
        </w:rPr>
        <w:t>6</w:t>
      </w:r>
      <w:r w:rsidR="00747ECE">
        <w:rPr>
          <w:rFonts w:hint="eastAsia"/>
        </w:rPr>
        <w:t>小時</w:t>
      </w:r>
    </w:p>
    <w:p w14:paraId="6CEAF5C3" w14:textId="43D531E4" w:rsidR="00EA37ED" w:rsidRDefault="00C245BE" w:rsidP="00C245BE">
      <w:pPr>
        <w:ind w:leftChars="253" w:left="708" w:firstLineChars="0" w:firstLine="1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參加人數至多</w:t>
      </w:r>
      <w:r w:rsidR="000D2B75">
        <w:rPr>
          <w:rFonts w:hint="eastAsia"/>
        </w:rPr>
        <w:t>35</w:t>
      </w:r>
      <w:r>
        <w:rPr>
          <w:rFonts w:hint="eastAsia"/>
        </w:rPr>
        <w:t>人，以報名順序方式辦理，額滿為止</w:t>
      </w:r>
      <w:r w:rsidR="00EA37ED">
        <w:rPr>
          <w:rFonts w:hint="eastAsia"/>
        </w:rPr>
        <w:t>。</w:t>
      </w:r>
    </w:p>
    <w:p w14:paraId="63D05B00" w14:textId="64B1BAAC" w:rsidR="00EA37ED" w:rsidRDefault="00EA37ED" w:rsidP="00EA37ED">
      <w:pPr>
        <w:pStyle w:val="3"/>
        <w:numPr>
          <w:ilvl w:val="0"/>
          <w:numId w:val="3"/>
        </w:numPr>
        <w:spacing w:line="312" w:lineRule="auto"/>
        <w:ind w:left="601" w:hanging="601"/>
      </w:pPr>
      <w:r>
        <w:rPr>
          <w:rFonts w:hint="eastAsia"/>
        </w:rPr>
        <w:lastRenderedPageBreak/>
        <w:t>辦理時程</w:t>
      </w:r>
    </w:p>
    <w:p w14:paraId="4B3FE997" w14:textId="1E3EFA2E" w:rsidR="00EA37ED" w:rsidRDefault="00C245BE" w:rsidP="00C245BE">
      <w:r w:rsidRPr="00306822">
        <w:rPr>
          <w:rFonts w:hint="eastAsia"/>
        </w:rPr>
        <w:t>114</w:t>
      </w:r>
      <w:r w:rsidRPr="00306822">
        <w:rPr>
          <w:rFonts w:hint="eastAsia"/>
        </w:rPr>
        <w:t>年</w:t>
      </w:r>
      <w:r w:rsidRPr="00306822">
        <w:rPr>
          <w:rFonts w:hint="eastAsia"/>
        </w:rPr>
        <w:t>2</w:t>
      </w:r>
      <w:r w:rsidRPr="00306822"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8</w:t>
      </w:r>
      <w:r w:rsidR="003F47D2"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分至下午</w:t>
      </w:r>
      <w:r>
        <w:rPr>
          <w:rFonts w:hint="eastAsia"/>
        </w:rPr>
        <w:t>4</w:t>
      </w:r>
      <w:r w:rsidR="003F47D2">
        <w:rPr>
          <w:rFonts w:hint="eastAsia"/>
        </w:rPr>
        <w:t>時</w:t>
      </w:r>
      <w:r w:rsidRPr="00306822">
        <w:rPr>
          <w:rFonts w:hint="eastAsia"/>
        </w:rPr>
        <w:t>辦理</w:t>
      </w:r>
    </w:p>
    <w:p w14:paraId="50CDC2FC" w14:textId="1A6AD3DF" w:rsidR="007F1877" w:rsidRPr="009F435A" w:rsidRDefault="00C245BE" w:rsidP="009F435A">
      <w:pPr>
        <w:pStyle w:val="3"/>
        <w:numPr>
          <w:ilvl w:val="0"/>
          <w:numId w:val="3"/>
        </w:numPr>
        <w:spacing w:line="312" w:lineRule="auto"/>
        <w:ind w:left="601" w:hanging="601"/>
        <w:rPr>
          <w:rFonts w:cs="Times New Roman"/>
        </w:rPr>
      </w:pPr>
      <w:r>
        <w:rPr>
          <w:rFonts w:cs="Times New Roman" w:hint="eastAsia"/>
        </w:rPr>
        <w:t>辦理地點</w:t>
      </w:r>
    </w:p>
    <w:p w14:paraId="1B98F7AA" w14:textId="0F4ECF3B" w:rsidR="00C245BE" w:rsidRDefault="00C245BE" w:rsidP="00C245BE">
      <w:r w:rsidRPr="00C245BE">
        <w:rPr>
          <w:rFonts w:hint="eastAsia"/>
        </w:rPr>
        <w:t>嘉義縣人力發展所</w:t>
      </w:r>
      <w:r w:rsidRPr="00C245BE">
        <w:rPr>
          <w:rFonts w:hint="eastAsia"/>
        </w:rPr>
        <w:t>(</w:t>
      </w:r>
      <w:r w:rsidRPr="00C245BE">
        <w:rPr>
          <w:rFonts w:hint="eastAsia"/>
        </w:rPr>
        <w:t>創新學院</w:t>
      </w:r>
      <w:r w:rsidRPr="00C245BE">
        <w:rPr>
          <w:rFonts w:hint="eastAsia"/>
        </w:rPr>
        <w:t>)203</w:t>
      </w:r>
      <w:r w:rsidRPr="00C245BE">
        <w:rPr>
          <w:rFonts w:hint="eastAsia"/>
        </w:rPr>
        <w:t>教室</w:t>
      </w:r>
      <w:r w:rsidRPr="00C245BE">
        <w:rPr>
          <w:rFonts w:hint="eastAsia"/>
        </w:rPr>
        <w:t>(</w:t>
      </w:r>
      <w:r w:rsidRPr="00C245BE">
        <w:rPr>
          <w:rFonts w:hint="eastAsia"/>
        </w:rPr>
        <w:t>嘉義縣太保市</w:t>
      </w:r>
      <w:proofErr w:type="gramStart"/>
      <w:r w:rsidRPr="00C245BE">
        <w:rPr>
          <w:rFonts w:hint="eastAsia"/>
        </w:rPr>
        <w:t>祥</w:t>
      </w:r>
      <w:proofErr w:type="gramEnd"/>
      <w:r w:rsidRPr="00C245BE">
        <w:rPr>
          <w:rFonts w:hint="eastAsia"/>
        </w:rPr>
        <w:t>和二路東段</w:t>
      </w:r>
      <w:r w:rsidRPr="00C245BE">
        <w:rPr>
          <w:rFonts w:hint="eastAsia"/>
        </w:rPr>
        <w:t>8</w:t>
      </w:r>
      <w:r w:rsidRPr="00C245BE">
        <w:rPr>
          <w:rFonts w:hint="eastAsia"/>
        </w:rPr>
        <w:t>號</w:t>
      </w:r>
      <w:r w:rsidRPr="00C245BE">
        <w:rPr>
          <w:rFonts w:hint="eastAsia"/>
        </w:rPr>
        <w:t>)</w:t>
      </w:r>
    </w:p>
    <w:p w14:paraId="6478F774" w14:textId="2AFB706C" w:rsidR="00C245BE" w:rsidRPr="00C245BE" w:rsidRDefault="00C245BE" w:rsidP="00C245BE">
      <w:pPr>
        <w:pStyle w:val="3"/>
        <w:numPr>
          <w:ilvl w:val="0"/>
          <w:numId w:val="3"/>
        </w:numPr>
        <w:spacing w:line="312" w:lineRule="auto"/>
        <w:ind w:left="601" w:hanging="601"/>
        <w:rPr>
          <w:rFonts w:cs="Times New Roman"/>
        </w:rPr>
      </w:pPr>
      <w:r w:rsidRPr="00C245BE">
        <w:rPr>
          <w:rFonts w:cs="Times New Roman" w:hint="eastAsia"/>
        </w:rPr>
        <w:t>講師</w:t>
      </w:r>
    </w:p>
    <w:p w14:paraId="0FBA1375" w14:textId="18AA06B3" w:rsidR="00C245BE" w:rsidRPr="00A34485" w:rsidRDefault="00C245BE" w:rsidP="00C245BE">
      <w:r w:rsidRPr="00A4637D">
        <w:rPr>
          <w:rFonts w:hint="eastAsia"/>
        </w:rPr>
        <w:t>依據授課主題邀請專業講師</w:t>
      </w:r>
      <w:r w:rsidRPr="001B6427">
        <w:rPr>
          <w:rFonts w:hint="eastAsia"/>
        </w:rPr>
        <w:t>，專長以節能</w:t>
      </w:r>
      <w:r w:rsidRPr="00FC0A18">
        <w:rPr>
          <w:rFonts w:ascii="微軟正黑體" w:hAnsi="微軟正黑體" w:hint="eastAsia"/>
        </w:rPr>
        <w:t>建築</w:t>
      </w:r>
      <w:r w:rsidRPr="001B6427">
        <w:rPr>
          <w:rFonts w:hint="eastAsia"/>
        </w:rPr>
        <w:t>、</w:t>
      </w:r>
      <w:r w:rsidRPr="00FC0A18">
        <w:rPr>
          <w:rFonts w:ascii="微軟正黑體" w:hAnsi="微軟正黑體" w:hint="eastAsia"/>
        </w:rPr>
        <w:t>建築能效評估</w:t>
      </w:r>
      <w:r w:rsidRPr="001B6427">
        <w:rPr>
          <w:rFonts w:hint="eastAsia"/>
        </w:rPr>
        <w:t>等</w:t>
      </w:r>
      <w:r>
        <w:rPr>
          <w:rFonts w:hint="eastAsia"/>
        </w:rPr>
        <w:t>為主</w:t>
      </w:r>
      <w:r w:rsidRPr="001B6427">
        <w:rPr>
          <w:rFonts w:hint="eastAsia"/>
        </w:rPr>
        <w:t>，如表</w:t>
      </w:r>
      <w:r>
        <w:rPr>
          <w:rFonts w:hint="eastAsia"/>
        </w:rPr>
        <w:t>1</w:t>
      </w:r>
      <w:r w:rsidRPr="001B6427">
        <w:rPr>
          <w:rFonts w:hint="eastAsia"/>
        </w:rPr>
        <w:t>所示，透過多樣性的課程，期望學員學習</w:t>
      </w:r>
      <w:r>
        <w:rPr>
          <w:rFonts w:hint="eastAsia"/>
        </w:rPr>
        <w:t>如何在</w:t>
      </w:r>
      <w:r w:rsidRPr="001B6427">
        <w:rPr>
          <w:rFonts w:hint="eastAsia"/>
        </w:rPr>
        <w:t>生活中</w:t>
      </w:r>
      <w:proofErr w:type="gramStart"/>
      <w:r>
        <w:rPr>
          <w:rFonts w:hint="eastAsia"/>
        </w:rPr>
        <w:t>推動</w:t>
      </w:r>
      <w:r w:rsidRPr="00FC0A18">
        <w:rPr>
          <w:rFonts w:hint="eastAsia"/>
        </w:rPr>
        <w:t>淨零建築</w:t>
      </w:r>
      <w:proofErr w:type="gramEnd"/>
      <w:r w:rsidRPr="00FC0A18">
        <w:rPr>
          <w:rFonts w:hint="eastAsia"/>
        </w:rPr>
        <w:t>轉型</w:t>
      </w:r>
      <w:r w:rsidRPr="001B6427">
        <w:rPr>
          <w:rFonts w:hint="eastAsia"/>
        </w:rPr>
        <w:t>。</w:t>
      </w:r>
    </w:p>
    <w:p w14:paraId="70891BB5" w14:textId="1D96BA5C" w:rsidR="00C245BE" w:rsidRDefault="00C245BE" w:rsidP="00C245BE">
      <w:pPr>
        <w:pStyle w:val="ab"/>
      </w:pPr>
      <w:r w:rsidRPr="00306822">
        <w:rPr>
          <w:rFonts w:hint="eastAsia"/>
        </w:rPr>
        <w:t>表</w:t>
      </w:r>
      <w:r>
        <w:rPr>
          <w:rFonts w:hint="eastAsia"/>
        </w:rPr>
        <w:t>1</w:t>
      </w:r>
      <w:r w:rsidRPr="00306822">
        <w:rPr>
          <w:rFonts w:hint="eastAsia"/>
        </w:rPr>
        <w:t xml:space="preserve"> </w:t>
      </w:r>
      <w:r>
        <w:rPr>
          <w:rFonts w:hint="eastAsia"/>
        </w:rPr>
        <w:t>課程講師</w:t>
      </w:r>
    </w:p>
    <w:tbl>
      <w:tblPr>
        <w:tblStyle w:val="A31"/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417"/>
        <w:gridCol w:w="1134"/>
        <w:gridCol w:w="3680"/>
      </w:tblGrid>
      <w:tr w:rsidR="00C245BE" w:rsidRPr="00B7225D" w14:paraId="5828A1A7" w14:textId="77777777" w:rsidTr="001A0BFE">
        <w:trPr>
          <w:trHeight w:val="73"/>
          <w:tblHeader/>
          <w:jc w:val="center"/>
        </w:trPr>
        <w:tc>
          <w:tcPr>
            <w:tcW w:w="1764" w:type="pct"/>
            <w:shd w:val="clear" w:color="auto" w:fill="D9D9D9" w:themeFill="background1" w:themeFillShade="D9"/>
          </w:tcPr>
          <w:p w14:paraId="56F8F566" w14:textId="77777777" w:rsidR="00C245BE" w:rsidRPr="00F606CD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 w:rsidRPr="00F606CD">
              <w:rPr>
                <w:rFonts w:ascii="微軟正黑體" w:hAnsi="微軟正黑體"/>
              </w:rPr>
              <w:t>單位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14:paraId="27EB33A1" w14:textId="77777777" w:rsidR="00C245BE" w:rsidRPr="00F606CD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 w:rsidRPr="00F606CD">
              <w:rPr>
                <w:rFonts w:ascii="微軟正黑體" w:hAnsi="微軟正黑體"/>
              </w:rPr>
              <w:t>職稱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05287EB5" w14:textId="77777777" w:rsidR="00C245BE" w:rsidRPr="00F606CD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 w:rsidRPr="00F606CD">
              <w:rPr>
                <w:rFonts w:ascii="微軟正黑體" w:hAnsi="微軟正黑體"/>
              </w:rPr>
              <w:t>姓名</w:t>
            </w:r>
          </w:p>
        </w:tc>
        <w:tc>
          <w:tcPr>
            <w:tcW w:w="1911" w:type="pct"/>
            <w:shd w:val="clear" w:color="auto" w:fill="D9D9D9" w:themeFill="background1" w:themeFillShade="D9"/>
          </w:tcPr>
          <w:p w14:paraId="7D91A9B6" w14:textId="77777777" w:rsidR="00C245BE" w:rsidRPr="00F606CD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 w:rsidRPr="00F606CD">
              <w:rPr>
                <w:rFonts w:ascii="微軟正黑體" w:hAnsi="微軟正黑體"/>
              </w:rPr>
              <w:t>專長</w:t>
            </w:r>
          </w:p>
        </w:tc>
      </w:tr>
      <w:tr w:rsidR="00C245BE" w:rsidRPr="00B7225D" w14:paraId="26367F09" w14:textId="77777777" w:rsidTr="001A0BFE">
        <w:trPr>
          <w:trHeight w:val="139"/>
          <w:jc w:val="center"/>
        </w:trPr>
        <w:tc>
          <w:tcPr>
            <w:tcW w:w="1764" w:type="pct"/>
            <w:shd w:val="clear" w:color="auto" w:fill="auto"/>
          </w:tcPr>
          <w:p w14:paraId="29CE6B4C" w14:textId="77777777" w:rsidR="00C245BE" w:rsidRPr="00B0271A" w:rsidRDefault="00C245BE" w:rsidP="001A0BFE">
            <w:pPr>
              <w:pStyle w:val="ad"/>
              <w:jc w:val="left"/>
              <w:rPr>
                <w:rFonts w:ascii="微軟正黑體" w:hAnsi="微軟正黑體"/>
                <w:b w:val="0"/>
                <w:bCs w:val="0"/>
              </w:rPr>
            </w:pPr>
            <w:r w:rsidRPr="00B0271A">
              <w:rPr>
                <w:rFonts w:ascii="微軟正黑體" w:hAnsi="微軟正黑體" w:hint="eastAsia"/>
                <w:b w:val="0"/>
                <w:bCs w:val="0"/>
              </w:rPr>
              <w:t>國立</w:t>
            </w:r>
            <w:proofErr w:type="gramStart"/>
            <w:r w:rsidRPr="00B0271A">
              <w:rPr>
                <w:rFonts w:ascii="微軟正黑體" w:hAnsi="微軟正黑體" w:hint="eastAsia"/>
                <w:b w:val="0"/>
                <w:bCs w:val="0"/>
              </w:rPr>
              <w:t>臺</w:t>
            </w:r>
            <w:proofErr w:type="gramEnd"/>
            <w:r w:rsidRPr="00B0271A">
              <w:rPr>
                <w:rFonts w:ascii="微軟正黑體" w:hAnsi="微軟正黑體" w:hint="eastAsia"/>
                <w:b w:val="0"/>
                <w:bCs w:val="0"/>
              </w:rPr>
              <w:t>北科技大學建築系</w:t>
            </w:r>
          </w:p>
          <w:p w14:paraId="6EF6FE1A" w14:textId="77777777" w:rsidR="00C245BE" w:rsidRPr="007C3C36" w:rsidRDefault="00C245BE" w:rsidP="001A0BFE">
            <w:pPr>
              <w:pStyle w:val="ad"/>
              <w:jc w:val="left"/>
              <w:rPr>
                <w:rFonts w:ascii="微軟正黑體" w:hAnsi="微軟正黑體"/>
                <w:b w:val="0"/>
                <w:bCs w:val="0"/>
              </w:rPr>
            </w:pPr>
            <w:r w:rsidRPr="00B0271A">
              <w:rPr>
                <w:rFonts w:ascii="微軟正黑體" w:hAnsi="微軟正黑體" w:hint="eastAsia"/>
                <w:b w:val="0"/>
                <w:bCs w:val="0"/>
              </w:rPr>
              <w:t>國立</w:t>
            </w:r>
            <w:proofErr w:type="gramStart"/>
            <w:r w:rsidRPr="00B0271A">
              <w:rPr>
                <w:rFonts w:ascii="微軟正黑體" w:hAnsi="微軟正黑體" w:hint="eastAsia"/>
                <w:b w:val="0"/>
                <w:bCs w:val="0"/>
              </w:rPr>
              <w:t>臺</w:t>
            </w:r>
            <w:proofErr w:type="gramEnd"/>
            <w:r w:rsidRPr="00B0271A">
              <w:rPr>
                <w:rFonts w:ascii="微軟正黑體" w:hAnsi="微軟正黑體" w:hint="eastAsia"/>
                <w:b w:val="0"/>
                <w:bCs w:val="0"/>
              </w:rPr>
              <w:t>東專科學校建築科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47F0DD4" w14:textId="77777777" w:rsidR="00C245BE" w:rsidRPr="007C3C36" w:rsidRDefault="00C245BE" w:rsidP="001A0BFE">
            <w:pPr>
              <w:pStyle w:val="ad"/>
              <w:jc w:val="left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助理教授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9424485" w14:textId="77777777" w:rsidR="00C245BE" w:rsidRPr="007C3C36" w:rsidRDefault="00C245BE" w:rsidP="001A0BFE">
            <w:pPr>
              <w:pStyle w:val="ad"/>
              <w:jc w:val="left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陳星皓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E4B9F99" w14:textId="77777777" w:rsidR="00C245BE" w:rsidRPr="007C3C36" w:rsidRDefault="00C245BE" w:rsidP="001A0BFE">
            <w:pPr>
              <w:pStyle w:val="ad"/>
              <w:jc w:val="both"/>
              <w:rPr>
                <w:rFonts w:ascii="微軟正黑體" w:hAnsi="微軟正黑體"/>
                <w:b w:val="0"/>
                <w:bCs w:val="0"/>
              </w:rPr>
            </w:pPr>
            <w:r w:rsidRPr="00FC0A18">
              <w:rPr>
                <w:rFonts w:ascii="微軟正黑體" w:hAnsi="微軟正黑體" w:hint="eastAsia"/>
                <w:b w:val="0"/>
                <w:bCs w:val="0"/>
              </w:rPr>
              <w:t>建築設計、建築環境控制系統、建築能效評估</w:t>
            </w:r>
          </w:p>
        </w:tc>
      </w:tr>
    </w:tbl>
    <w:p w14:paraId="7E3B9A33" w14:textId="54BC67B3" w:rsidR="00C245BE" w:rsidRPr="00C245BE" w:rsidRDefault="00C245BE" w:rsidP="00C245BE">
      <w:pPr>
        <w:pStyle w:val="3"/>
        <w:numPr>
          <w:ilvl w:val="0"/>
          <w:numId w:val="3"/>
        </w:numPr>
        <w:spacing w:line="312" w:lineRule="auto"/>
        <w:ind w:left="601" w:hanging="601"/>
        <w:rPr>
          <w:rFonts w:cs="Times New Roman"/>
        </w:rPr>
      </w:pPr>
      <w:r w:rsidRPr="00C245BE">
        <w:rPr>
          <w:rFonts w:cs="Times New Roman" w:hint="eastAsia"/>
        </w:rPr>
        <w:t>課程規劃</w:t>
      </w:r>
    </w:p>
    <w:p w14:paraId="4F9794EE" w14:textId="5AE3207B" w:rsidR="00C245BE" w:rsidRPr="00A34485" w:rsidRDefault="00C245BE" w:rsidP="00C245BE">
      <w:r>
        <w:rPr>
          <w:rFonts w:hint="eastAsia"/>
        </w:rPr>
        <w:t>為</w:t>
      </w:r>
      <w:r w:rsidRPr="00306822">
        <w:rPr>
          <w:rFonts w:hint="eastAsia"/>
        </w:rPr>
        <w:t>提升學員在建築物</w:t>
      </w:r>
      <w:proofErr w:type="gramStart"/>
      <w:r w:rsidRPr="00306822">
        <w:rPr>
          <w:rFonts w:hint="eastAsia"/>
        </w:rPr>
        <w:t>節能減碳的</w:t>
      </w:r>
      <w:proofErr w:type="gramEnd"/>
      <w:r w:rsidRPr="00306822">
        <w:rPr>
          <w:rFonts w:hint="eastAsia"/>
        </w:rPr>
        <w:t>相關知識，課程分為五個部分，包括氣候變遷</w:t>
      </w:r>
      <w:proofErr w:type="gramStart"/>
      <w:r w:rsidRPr="00306822">
        <w:rPr>
          <w:rFonts w:hint="eastAsia"/>
        </w:rPr>
        <w:t>與淨零議題</w:t>
      </w:r>
      <w:proofErr w:type="gramEnd"/>
      <w:r w:rsidRPr="00306822">
        <w:rPr>
          <w:rFonts w:hint="eastAsia"/>
        </w:rPr>
        <w:t>、</w:t>
      </w:r>
      <w:proofErr w:type="gramStart"/>
      <w:r w:rsidRPr="00306822">
        <w:rPr>
          <w:rFonts w:hint="eastAsia"/>
        </w:rPr>
        <w:t>淨零建築</w:t>
      </w:r>
      <w:proofErr w:type="gramEnd"/>
      <w:r w:rsidRPr="00306822">
        <w:rPr>
          <w:rFonts w:hint="eastAsia"/>
        </w:rPr>
        <w:t>與建築能效標示制度緣起、建築能效評估系統理論基礎以及住宅能效評估系統</w:t>
      </w:r>
      <w:r w:rsidRPr="00306822">
        <w:rPr>
          <w:rFonts w:hint="eastAsia"/>
        </w:rPr>
        <w:t>R-BERS</w:t>
      </w:r>
      <w:r w:rsidRPr="00306822">
        <w:rPr>
          <w:rFonts w:hint="eastAsia"/>
        </w:rPr>
        <w:t>等課程，並加入分組實作演練課程。</w:t>
      </w:r>
      <w:r>
        <w:rPr>
          <w:rFonts w:hint="eastAsia"/>
        </w:rPr>
        <w:t>整體</w:t>
      </w:r>
      <w:r w:rsidRPr="00306822">
        <w:rPr>
          <w:rFonts w:hint="eastAsia"/>
        </w:rPr>
        <w:t>課程規劃如表</w:t>
      </w:r>
      <w:r>
        <w:rPr>
          <w:rFonts w:hint="eastAsia"/>
        </w:rPr>
        <w:t>2</w:t>
      </w:r>
      <w:r w:rsidRPr="00306822">
        <w:rPr>
          <w:rFonts w:hint="eastAsia"/>
        </w:rPr>
        <w:t>所示，</w:t>
      </w:r>
    </w:p>
    <w:p w14:paraId="715C81B5" w14:textId="77777777" w:rsidR="00C245BE" w:rsidRPr="00A34485" w:rsidRDefault="00C245BE" w:rsidP="00C245BE">
      <w:pPr>
        <w:pStyle w:val="ab"/>
      </w:pPr>
      <w:r w:rsidRPr="00306822">
        <w:rPr>
          <w:rFonts w:hint="eastAsia"/>
        </w:rPr>
        <w:t>表</w:t>
      </w:r>
      <w:r>
        <w:rPr>
          <w:rFonts w:hint="eastAsia"/>
        </w:rPr>
        <w:t>2</w:t>
      </w:r>
      <w:r w:rsidRPr="00306822">
        <w:rPr>
          <w:rFonts w:hint="eastAsia"/>
        </w:rPr>
        <w:t xml:space="preserve"> </w:t>
      </w:r>
      <w:r w:rsidRPr="00306822">
        <w:rPr>
          <w:rFonts w:hint="eastAsia"/>
        </w:rPr>
        <w:t>節能規劃師課程表</w:t>
      </w:r>
      <w:r w:rsidRPr="00A34485">
        <w:t xml:space="preserve"> </w:t>
      </w:r>
    </w:p>
    <w:tbl>
      <w:tblPr>
        <w:tblStyle w:val="af"/>
        <w:tblW w:w="9741" w:type="dxa"/>
        <w:tblInd w:w="-113" w:type="dxa"/>
        <w:tblLook w:val="04A0" w:firstRow="1" w:lastRow="0" w:firstColumn="1" w:lastColumn="0" w:noHBand="0" w:noVBand="1"/>
      </w:tblPr>
      <w:tblGrid>
        <w:gridCol w:w="1951"/>
        <w:gridCol w:w="2164"/>
        <w:gridCol w:w="3931"/>
        <w:gridCol w:w="1695"/>
      </w:tblGrid>
      <w:tr w:rsidR="00C245BE" w:rsidRPr="00B7225D" w14:paraId="736B53B6" w14:textId="77777777" w:rsidTr="001A0BFE">
        <w:trPr>
          <w:tblHeader/>
        </w:trPr>
        <w:tc>
          <w:tcPr>
            <w:tcW w:w="1951" w:type="dxa"/>
            <w:shd w:val="clear" w:color="auto" w:fill="D9D9D9" w:themeFill="background1" w:themeFillShade="D9"/>
          </w:tcPr>
          <w:p w14:paraId="04E8EFEC" w14:textId="77777777" w:rsidR="00C245BE" w:rsidRPr="00B12A46" w:rsidRDefault="00C245BE" w:rsidP="001A0BFE">
            <w:pPr>
              <w:pStyle w:val="ad"/>
              <w:spacing w:line="0" w:lineRule="atLeast"/>
              <w:rPr>
                <w:rFonts w:ascii="微軟正黑體" w:hAnsi="微軟正黑體"/>
              </w:rPr>
            </w:pPr>
            <w:r>
              <w:rPr>
                <w:rFonts w:ascii="微軟正黑體" w:hAnsi="微軟正黑體" w:hint="eastAsia"/>
              </w:rPr>
              <w:t>時間</w:t>
            </w:r>
          </w:p>
        </w:tc>
        <w:tc>
          <w:tcPr>
            <w:tcW w:w="2164" w:type="dxa"/>
            <w:shd w:val="clear" w:color="auto" w:fill="D9D9D9" w:themeFill="background1" w:themeFillShade="D9"/>
            <w:vAlign w:val="center"/>
          </w:tcPr>
          <w:p w14:paraId="7748EB40" w14:textId="77777777" w:rsidR="00C245BE" w:rsidRPr="00B12A46" w:rsidRDefault="00C245BE" w:rsidP="001A0BFE">
            <w:pPr>
              <w:pStyle w:val="ad"/>
              <w:spacing w:line="0" w:lineRule="atLeast"/>
              <w:rPr>
                <w:rFonts w:ascii="微軟正黑體" w:hAnsi="微軟正黑體"/>
                <w:b w:val="0"/>
                <w:bCs w:val="0"/>
              </w:rPr>
            </w:pPr>
            <w:r w:rsidRPr="00B12A46">
              <w:rPr>
                <w:rFonts w:ascii="微軟正黑體" w:hAnsi="微軟正黑體"/>
              </w:rPr>
              <w:t>課程名稱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4375F122" w14:textId="77777777" w:rsidR="00C245BE" w:rsidRPr="00B12A46" w:rsidRDefault="00C245BE" w:rsidP="001A0BFE">
            <w:pPr>
              <w:pStyle w:val="ad"/>
              <w:spacing w:line="0" w:lineRule="atLeast"/>
              <w:rPr>
                <w:rFonts w:ascii="微軟正黑體" w:hAnsi="微軟正黑體"/>
                <w:b w:val="0"/>
                <w:bCs w:val="0"/>
              </w:rPr>
            </w:pPr>
            <w:r w:rsidRPr="00B12A46">
              <w:rPr>
                <w:rFonts w:ascii="微軟正黑體" w:hAnsi="微軟正黑體"/>
              </w:rPr>
              <w:t>課程</w:t>
            </w:r>
            <w:r>
              <w:rPr>
                <w:rFonts w:ascii="微軟正黑體" w:hAnsi="微軟正黑體" w:hint="eastAsia"/>
              </w:rPr>
              <w:t>說明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1EB07AFF" w14:textId="77777777" w:rsidR="00C245BE" w:rsidRPr="00B12A46" w:rsidRDefault="00C245BE" w:rsidP="001A0BFE">
            <w:pPr>
              <w:pStyle w:val="ad"/>
              <w:spacing w:line="0" w:lineRule="atLeast"/>
              <w:rPr>
                <w:rFonts w:ascii="微軟正黑體" w:hAnsi="微軟正黑體"/>
                <w:b w:val="0"/>
                <w:bCs w:val="0"/>
              </w:rPr>
            </w:pPr>
            <w:r w:rsidRPr="00B12A46">
              <w:rPr>
                <w:rFonts w:ascii="微軟正黑體" w:hAnsi="微軟正黑體"/>
              </w:rPr>
              <w:t>備註</w:t>
            </w:r>
          </w:p>
        </w:tc>
      </w:tr>
      <w:tr w:rsidR="00C245BE" w:rsidRPr="00B7225D" w14:paraId="37E4F57A" w14:textId="77777777" w:rsidTr="001A0BFE">
        <w:tc>
          <w:tcPr>
            <w:tcW w:w="1951" w:type="dxa"/>
            <w:vAlign w:val="center"/>
          </w:tcPr>
          <w:p w14:paraId="77776D77" w14:textId="77777777" w:rsidR="00C245BE" w:rsidRPr="00C67C27" w:rsidRDefault="00C245BE" w:rsidP="001A0BFE">
            <w:pPr>
              <w:pStyle w:val="ad"/>
              <w:rPr>
                <w:b w:val="0"/>
                <w:bCs w:val="0"/>
              </w:rPr>
            </w:pP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08: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4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0-0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9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3BAF7447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報到</w:t>
            </w:r>
          </w:p>
        </w:tc>
        <w:tc>
          <w:tcPr>
            <w:tcW w:w="3931" w:type="dxa"/>
            <w:vAlign w:val="center"/>
          </w:tcPr>
          <w:p w14:paraId="550C9FFC" w14:textId="77777777" w:rsidR="00C245BE" w:rsidRPr="00C80141" w:rsidRDefault="00C245BE" w:rsidP="001A0BFE">
            <w:pPr>
              <w:pStyle w:val="ad"/>
              <w:jc w:val="both"/>
              <w:rPr>
                <w:rFonts w:ascii="微軟正黑體" w:hAnsi="微軟正黑體"/>
                <w:b w:val="0"/>
                <w:bCs w:val="0"/>
              </w:rPr>
            </w:pPr>
          </w:p>
        </w:tc>
        <w:tc>
          <w:tcPr>
            <w:tcW w:w="1695" w:type="dxa"/>
            <w:vAlign w:val="center"/>
          </w:tcPr>
          <w:p w14:paraId="6062585E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  <w:tr w:rsidR="00C245BE" w:rsidRPr="00B7225D" w14:paraId="09819164" w14:textId="77777777" w:rsidTr="001A0BFE">
        <w:tc>
          <w:tcPr>
            <w:tcW w:w="1951" w:type="dxa"/>
            <w:vAlign w:val="center"/>
          </w:tcPr>
          <w:p w14:paraId="65AA0F4D" w14:textId="77777777" w:rsidR="00C245BE" w:rsidRPr="00C67C27" w:rsidRDefault="00C245BE" w:rsidP="001A0BFE">
            <w:pPr>
              <w:pStyle w:val="ad"/>
              <w:rPr>
                <w:b w:val="0"/>
                <w:bCs w:val="0"/>
              </w:rPr>
            </w:pP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9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-0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9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5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4819EFD6" w14:textId="77777777" w:rsidR="00C245BE" w:rsidRPr="00FC0A18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 w:rsidRPr="00FC0A18">
              <w:rPr>
                <w:rFonts w:ascii="微軟正黑體" w:hAnsi="微軟正黑體" w:hint="eastAsia"/>
                <w:b w:val="0"/>
                <w:bCs w:val="0"/>
              </w:rPr>
              <w:t>氣候變遷</w:t>
            </w:r>
            <w:proofErr w:type="gramStart"/>
            <w:r w:rsidRPr="00FC0A18">
              <w:rPr>
                <w:rFonts w:ascii="微軟正黑體" w:hAnsi="微軟正黑體" w:hint="eastAsia"/>
                <w:b w:val="0"/>
                <w:bCs w:val="0"/>
              </w:rPr>
              <w:t>與淨零建築</w:t>
            </w:r>
            <w:proofErr w:type="gramEnd"/>
            <w:r w:rsidRPr="00FC0A18">
              <w:rPr>
                <w:rFonts w:ascii="微軟正黑體" w:hAnsi="微軟正黑體" w:hint="eastAsia"/>
                <w:b w:val="0"/>
                <w:bCs w:val="0"/>
              </w:rPr>
              <w:t>政策</w:t>
            </w:r>
          </w:p>
        </w:tc>
        <w:tc>
          <w:tcPr>
            <w:tcW w:w="3931" w:type="dxa"/>
            <w:vAlign w:val="center"/>
          </w:tcPr>
          <w:p w14:paraId="2612D00B" w14:textId="77777777" w:rsidR="00C245BE" w:rsidRDefault="00C245BE" w:rsidP="001A0BFE">
            <w:pPr>
              <w:pStyle w:val="ad"/>
              <w:jc w:val="both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從</w:t>
            </w:r>
            <w:r w:rsidRPr="00C80141">
              <w:rPr>
                <w:rFonts w:ascii="微軟正黑體" w:hAnsi="微軟正黑體"/>
                <w:b w:val="0"/>
                <w:bCs w:val="0"/>
              </w:rPr>
              <w:t>氣候變遷的現狀和影響</w:t>
            </w:r>
            <w:r>
              <w:rPr>
                <w:rFonts w:ascii="微軟正黑體" w:hAnsi="微軟正黑體" w:hint="eastAsia"/>
                <w:b w:val="0"/>
                <w:bCs w:val="0"/>
              </w:rPr>
              <w:t>，到</w:t>
            </w:r>
            <w:r w:rsidRPr="00FC0A18">
              <w:rPr>
                <w:rFonts w:ascii="微軟正黑體" w:hAnsi="微軟正黑體" w:hint="eastAsia"/>
                <w:b w:val="0"/>
                <w:bCs w:val="0"/>
              </w:rPr>
              <w:t>國內建築</w:t>
            </w:r>
            <w:proofErr w:type="gramStart"/>
            <w:r w:rsidRPr="00FC0A18">
              <w:rPr>
                <w:rFonts w:ascii="微軟正黑體" w:hAnsi="微軟正黑體" w:hint="eastAsia"/>
                <w:b w:val="0"/>
                <w:bCs w:val="0"/>
              </w:rPr>
              <w:t>部門淨零轉型</w:t>
            </w:r>
            <w:proofErr w:type="gramEnd"/>
            <w:r w:rsidRPr="00FC0A18">
              <w:rPr>
                <w:rFonts w:ascii="微軟正黑體" w:hAnsi="微軟正黑體" w:hint="eastAsia"/>
                <w:b w:val="0"/>
                <w:bCs w:val="0"/>
              </w:rPr>
              <w:t>的路徑</w:t>
            </w:r>
            <w:r>
              <w:rPr>
                <w:rFonts w:ascii="微軟正黑體" w:hAnsi="微軟正黑體" w:hint="eastAsia"/>
                <w:b w:val="0"/>
                <w:bCs w:val="0"/>
              </w:rPr>
              <w:t>，透過案例了解</w:t>
            </w:r>
            <w:r w:rsidRPr="00C80141">
              <w:rPr>
                <w:rFonts w:ascii="微軟正黑體" w:hAnsi="微軟正黑體"/>
                <w:b w:val="0"/>
                <w:bCs w:val="0"/>
              </w:rPr>
              <w:t>如何</w:t>
            </w:r>
            <w:proofErr w:type="gramStart"/>
            <w:r>
              <w:rPr>
                <w:rFonts w:ascii="微軟正黑體" w:hAnsi="微軟正黑體" w:hint="eastAsia"/>
                <w:b w:val="0"/>
                <w:bCs w:val="0"/>
              </w:rPr>
              <w:t>達成</w:t>
            </w:r>
            <w:r w:rsidRPr="00FC0A18">
              <w:rPr>
                <w:rFonts w:ascii="微軟正黑體" w:hAnsi="微軟正黑體" w:hint="eastAsia"/>
                <w:b w:val="0"/>
                <w:bCs w:val="0"/>
              </w:rPr>
              <w:t>淨零建築</w:t>
            </w:r>
            <w:proofErr w:type="gramEnd"/>
            <w:r w:rsidRPr="00C80141">
              <w:rPr>
                <w:rFonts w:ascii="微軟正黑體" w:hAnsi="微軟正黑體"/>
                <w:b w:val="0"/>
                <w:bCs w:val="0"/>
              </w:rPr>
              <w:t>。</w:t>
            </w:r>
          </w:p>
        </w:tc>
        <w:tc>
          <w:tcPr>
            <w:tcW w:w="1695" w:type="dxa"/>
            <w:vAlign w:val="center"/>
          </w:tcPr>
          <w:p w14:paraId="3AC3EDAB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  <w:tr w:rsidR="00C245BE" w:rsidRPr="00B7225D" w14:paraId="3B0E2DB6" w14:textId="77777777" w:rsidTr="001A0BFE">
        <w:tc>
          <w:tcPr>
            <w:tcW w:w="1951" w:type="dxa"/>
            <w:vAlign w:val="center"/>
          </w:tcPr>
          <w:p w14:paraId="4AB35BC1" w14:textId="77777777" w:rsidR="00C245BE" w:rsidRPr="00C67C27" w:rsidRDefault="00C245BE" w:rsidP="001A0BFE">
            <w:pPr>
              <w:pStyle w:val="ad"/>
              <w:rPr>
                <w:b w:val="0"/>
                <w:bCs w:val="0"/>
                <w:spacing w:val="20"/>
                <w:szCs w:val="28"/>
                <w:shd w:val="clear" w:color="auto" w:fill="FFFFFF"/>
              </w:rPr>
            </w:pP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lastRenderedPageBreak/>
              <w:t>0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9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50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5DD3DE51" w14:textId="77777777" w:rsidR="00C245BE" w:rsidRPr="00FC0A18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休息</w:t>
            </w:r>
          </w:p>
        </w:tc>
        <w:tc>
          <w:tcPr>
            <w:tcW w:w="3931" w:type="dxa"/>
            <w:vAlign w:val="center"/>
          </w:tcPr>
          <w:p w14:paraId="2404B626" w14:textId="77777777" w:rsidR="00C245BE" w:rsidRDefault="00C245BE" w:rsidP="001A0BFE">
            <w:pPr>
              <w:pStyle w:val="ad"/>
              <w:jc w:val="both"/>
              <w:rPr>
                <w:rFonts w:ascii="微軟正黑體" w:hAnsi="微軟正黑體"/>
                <w:b w:val="0"/>
                <w:bCs w:val="0"/>
              </w:rPr>
            </w:pPr>
          </w:p>
        </w:tc>
        <w:tc>
          <w:tcPr>
            <w:tcW w:w="1695" w:type="dxa"/>
            <w:vAlign w:val="center"/>
          </w:tcPr>
          <w:p w14:paraId="63CC98C8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  <w:tr w:rsidR="00C245BE" w:rsidRPr="00B7225D" w14:paraId="2621C69C" w14:textId="77777777" w:rsidTr="001A0BFE">
        <w:tc>
          <w:tcPr>
            <w:tcW w:w="1951" w:type="dxa"/>
            <w:vAlign w:val="center"/>
          </w:tcPr>
          <w:p w14:paraId="29FC7F07" w14:textId="77777777" w:rsidR="00C245BE" w:rsidRPr="00C67C27" w:rsidRDefault="00C245BE" w:rsidP="001A0BFE">
            <w:pPr>
              <w:pStyle w:val="ad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5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56A1F633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proofErr w:type="gramStart"/>
            <w:r w:rsidRPr="00C80141">
              <w:rPr>
                <w:rFonts w:ascii="微軟正黑體" w:hAnsi="微軟正黑體"/>
                <w:b w:val="0"/>
                <w:bCs w:val="0"/>
              </w:rPr>
              <w:t>淨零建築</w:t>
            </w:r>
            <w:proofErr w:type="gramEnd"/>
            <w:r w:rsidRPr="00C80141">
              <w:rPr>
                <w:rFonts w:ascii="微軟正黑體" w:hAnsi="微軟正黑體"/>
                <w:b w:val="0"/>
                <w:bCs w:val="0"/>
              </w:rPr>
              <w:t>與建築能效標示制度緣起</w:t>
            </w:r>
          </w:p>
        </w:tc>
        <w:tc>
          <w:tcPr>
            <w:tcW w:w="3931" w:type="dxa"/>
            <w:vAlign w:val="center"/>
          </w:tcPr>
          <w:p w14:paraId="1E6EE762" w14:textId="77777777" w:rsidR="00C245BE" w:rsidRPr="00C80141" w:rsidRDefault="00C245BE" w:rsidP="001A0BFE">
            <w:pPr>
              <w:pStyle w:val="ad"/>
              <w:jc w:val="left"/>
              <w:rPr>
                <w:rFonts w:ascii="微軟正黑體" w:hAnsi="微軟正黑體"/>
                <w:b w:val="0"/>
                <w:bCs w:val="0"/>
              </w:rPr>
            </w:pPr>
            <w:r w:rsidRPr="00C80141">
              <w:rPr>
                <w:rFonts w:ascii="微軟正黑體" w:hAnsi="微軟正黑體"/>
                <w:b w:val="0"/>
                <w:bCs w:val="0"/>
              </w:rPr>
              <w:t>建築的碳排放量與可再生能源生產量達到平衡。評估建築能源效率的標準體系。</w:t>
            </w:r>
          </w:p>
        </w:tc>
        <w:tc>
          <w:tcPr>
            <w:tcW w:w="1695" w:type="dxa"/>
            <w:vAlign w:val="center"/>
          </w:tcPr>
          <w:p w14:paraId="1FAF60D0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  <w:tr w:rsidR="00C245BE" w:rsidRPr="00B7225D" w14:paraId="42994277" w14:textId="77777777" w:rsidTr="001A0BFE">
        <w:tc>
          <w:tcPr>
            <w:tcW w:w="1951" w:type="dxa"/>
            <w:vAlign w:val="center"/>
          </w:tcPr>
          <w:p w14:paraId="78CD073D" w14:textId="77777777" w:rsidR="00C245BE" w:rsidRDefault="00C245BE" w:rsidP="001A0BFE">
            <w:pPr>
              <w:pStyle w:val="ad"/>
              <w:rPr>
                <w:b w:val="0"/>
                <w:bCs w:val="0"/>
                <w:spacing w:val="20"/>
                <w:szCs w:val="28"/>
                <w:shd w:val="clear" w:color="auto" w:fill="FFFFFF"/>
              </w:rPr>
            </w:pP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50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11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6C9BB4AE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休息</w:t>
            </w:r>
          </w:p>
        </w:tc>
        <w:tc>
          <w:tcPr>
            <w:tcW w:w="3931" w:type="dxa"/>
            <w:vAlign w:val="center"/>
          </w:tcPr>
          <w:p w14:paraId="2C6F6B6D" w14:textId="77777777" w:rsidR="00C245BE" w:rsidRPr="00C80141" w:rsidRDefault="00C245BE" w:rsidP="001A0BFE">
            <w:pPr>
              <w:pStyle w:val="ad"/>
              <w:jc w:val="left"/>
              <w:rPr>
                <w:rFonts w:ascii="微軟正黑體" w:hAnsi="微軟正黑體"/>
                <w:b w:val="0"/>
                <w:bCs w:val="0"/>
              </w:rPr>
            </w:pPr>
          </w:p>
        </w:tc>
        <w:tc>
          <w:tcPr>
            <w:tcW w:w="1695" w:type="dxa"/>
            <w:vAlign w:val="center"/>
          </w:tcPr>
          <w:p w14:paraId="497903F2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  <w:tr w:rsidR="00C245BE" w:rsidRPr="00B7225D" w14:paraId="25375B90" w14:textId="77777777" w:rsidTr="001A0BFE">
        <w:tc>
          <w:tcPr>
            <w:tcW w:w="1951" w:type="dxa"/>
            <w:vAlign w:val="center"/>
          </w:tcPr>
          <w:p w14:paraId="0C97AA1F" w14:textId="10DB13E1" w:rsidR="00C245BE" w:rsidRPr="00C67C27" w:rsidRDefault="00C245BE" w:rsidP="001A0BFE">
            <w:pPr>
              <w:pStyle w:val="ad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11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 w:rsidR="003D643C"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12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31662767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 w:rsidRPr="00C80141">
              <w:rPr>
                <w:rFonts w:ascii="微軟正黑體" w:hAnsi="微軟正黑體"/>
                <w:b w:val="0"/>
                <w:bCs w:val="0"/>
              </w:rPr>
              <w:t>建築能效評估系統理論基礎</w:t>
            </w:r>
          </w:p>
        </w:tc>
        <w:tc>
          <w:tcPr>
            <w:tcW w:w="3931" w:type="dxa"/>
            <w:vAlign w:val="center"/>
          </w:tcPr>
          <w:p w14:paraId="3702607A" w14:textId="77777777" w:rsidR="00C245BE" w:rsidRPr="00C80141" w:rsidRDefault="00C245BE" w:rsidP="001A0BFE">
            <w:pPr>
              <w:pStyle w:val="ad"/>
              <w:jc w:val="both"/>
              <w:rPr>
                <w:rFonts w:ascii="微軟正黑體" w:hAnsi="微軟正黑體"/>
                <w:b w:val="0"/>
                <w:bCs w:val="0"/>
              </w:rPr>
            </w:pPr>
            <w:r w:rsidRPr="00C80141">
              <w:rPr>
                <w:rFonts w:ascii="微軟正黑體" w:hAnsi="微軟正黑體"/>
                <w:b w:val="0"/>
                <w:bCs w:val="0"/>
              </w:rPr>
              <w:t>評估建築能源效率和環境可持續性的標準體系。探討建築能效評估的理論框架、評估指標和應用案例。</w:t>
            </w:r>
          </w:p>
        </w:tc>
        <w:tc>
          <w:tcPr>
            <w:tcW w:w="1695" w:type="dxa"/>
            <w:vAlign w:val="center"/>
          </w:tcPr>
          <w:p w14:paraId="713BFBCA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  <w:tr w:rsidR="00C245BE" w:rsidRPr="00B7225D" w14:paraId="707A987D" w14:textId="77777777" w:rsidTr="001A0BFE">
        <w:tc>
          <w:tcPr>
            <w:tcW w:w="1951" w:type="dxa"/>
            <w:vAlign w:val="center"/>
          </w:tcPr>
          <w:p w14:paraId="57C05B6F" w14:textId="77777777" w:rsidR="00C245BE" w:rsidRPr="00C67C27" w:rsidRDefault="00C245BE" w:rsidP="001A0BFE">
            <w:pPr>
              <w:pStyle w:val="ad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12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13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09808D0A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午餐</w:t>
            </w:r>
          </w:p>
        </w:tc>
        <w:tc>
          <w:tcPr>
            <w:tcW w:w="3931" w:type="dxa"/>
            <w:vAlign w:val="center"/>
          </w:tcPr>
          <w:p w14:paraId="23AF78B3" w14:textId="77777777" w:rsidR="00C245BE" w:rsidRPr="00C80141" w:rsidRDefault="00C245BE" w:rsidP="001A0BFE">
            <w:pPr>
              <w:pStyle w:val="ad"/>
              <w:jc w:val="left"/>
              <w:rPr>
                <w:rFonts w:ascii="微軟正黑體" w:hAnsi="微軟正黑體"/>
                <w:b w:val="0"/>
                <w:bCs w:val="0"/>
              </w:rPr>
            </w:pPr>
          </w:p>
        </w:tc>
        <w:tc>
          <w:tcPr>
            <w:tcW w:w="1695" w:type="dxa"/>
            <w:vAlign w:val="center"/>
          </w:tcPr>
          <w:p w14:paraId="1DB62A1F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  <w:tr w:rsidR="00C245BE" w:rsidRPr="00B7225D" w14:paraId="35FA2AC9" w14:textId="77777777" w:rsidTr="001A0BFE">
        <w:tc>
          <w:tcPr>
            <w:tcW w:w="1951" w:type="dxa"/>
            <w:vAlign w:val="center"/>
          </w:tcPr>
          <w:p w14:paraId="2A38DA37" w14:textId="77777777" w:rsidR="00C245BE" w:rsidRPr="00C67C27" w:rsidRDefault="00C245BE" w:rsidP="001A0BFE">
            <w:pPr>
              <w:pStyle w:val="ad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13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14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3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62182B8C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 w:rsidRPr="00C80141">
              <w:rPr>
                <w:rFonts w:ascii="微軟正黑體" w:hAnsi="微軟正黑體"/>
                <w:b w:val="0"/>
                <w:bCs w:val="0"/>
              </w:rPr>
              <w:t>住宅能效評估系統</w:t>
            </w:r>
            <w:r w:rsidRPr="00C80141">
              <w:rPr>
                <w:b w:val="0"/>
                <w:bCs w:val="0"/>
              </w:rPr>
              <w:t>R-BERS</w:t>
            </w:r>
          </w:p>
        </w:tc>
        <w:tc>
          <w:tcPr>
            <w:tcW w:w="3931" w:type="dxa"/>
            <w:vAlign w:val="center"/>
          </w:tcPr>
          <w:p w14:paraId="544B8335" w14:textId="77777777" w:rsidR="00C245BE" w:rsidRPr="00C80141" w:rsidRDefault="00C245BE" w:rsidP="001A0BFE">
            <w:pPr>
              <w:pStyle w:val="ad"/>
              <w:jc w:val="both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使用</w:t>
            </w:r>
            <w:r w:rsidRPr="00C80141">
              <w:rPr>
                <w:b w:val="0"/>
                <w:bCs w:val="0"/>
              </w:rPr>
              <w:t>R-BERS</w:t>
            </w:r>
            <w:r w:rsidRPr="00C80141">
              <w:rPr>
                <w:rFonts w:ascii="微軟正黑體" w:hAnsi="微軟正黑體"/>
                <w:b w:val="0"/>
                <w:bCs w:val="0"/>
              </w:rPr>
              <w:t>評估住宅的能源效率和環境可持續性。瞭解評估系統的運作機制，並具備進行住宅能效評估的能力。</w:t>
            </w:r>
          </w:p>
        </w:tc>
        <w:tc>
          <w:tcPr>
            <w:tcW w:w="1695" w:type="dxa"/>
            <w:vAlign w:val="center"/>
          </w:tcPr>
          <w:p w14:paraId="6FF570ED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  <w:tr w:rsidR="00C245BE" w:rsidRPr="00B7225D" w14:paraId="4301BB2C" w14:textId="77777777" w:rsidTr="001A0BFE">
        <w:tc>
          <w:tcPr>
            <w:tcW w:w="1951" w:type="dxa"/>
            <w:vAlign w:val="center"/>
          </w:tcPr>
          <w:p w14:paraId="59483011" w14:textId="77777777" w:rsidR="00C245BE" w:rsidRPr="00C67C27" w:rsidRDefault="00C245BE" w:rsidP="001A0BFE">
            <w:pPr>
              <w:pStyle w:val="ad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14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30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14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4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4168EE38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休息</w:t>
            </w:r>
          </w:p>
        </w:tc>
        <w:tc>
          <w:tcPr>
            <w:tcW w:w="3931" w:type="dxa"/>
            <w:vAlign w:val="center"/>
          </w:tcPr>
          <w:p w14:paraId="71879F5A" w14:textId="77777777" w:rsidR="00C245BE" w:rsidRDefault="00C245BE" w:rsidP="001A0BFE">
            <w:pPr>
              <w:pStyle w:val="ad"/>
              <w:jc w:val="left"/>
              <w:rPr>
                <w:b w:val="0"/>
                <w:bCs w:val="0"/>
              </w:rPr>
            </w:pPr>
          </w:p>
        </w:tc>
        <w:tc>
          <w:tcPr>
            <w:tcW w:w="1695" w:type="dxa"/>
            <w:vAlign w:val="center"/>
          </w:tcPr>
          <w:p w14:paraId="7AF924B2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  <w:tr w:rsidR="00C245BE" w:rsidRPr="00B7225D" w14:paraId="7D46752A" w14:textId="77777777" w:rsidTr="001A0BFE">
        <w:tc>
          <w:tcPr>
            <w:tcW w:w="1951" w:type="dxa"/>
            <w:vAlign w:val="center"/>
          </w:tcPr>
          <w:p w14:paraId="3476603A" w14:textId="77777777" w:rsidR="00C245BE" w:rsidRPr="00C67C27" w:rsidRDefault="00C245BE" w:rsidP="001A0BFE">
            <w:pPr>
              <w:pStyle w:val="ad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14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40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15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4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3C56515C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 w:rsidRPr="00C80141">
              <w:rPr>
                <w:rFonts w:ascii="微軟正黑體" w:hAnsi="微軟正黑體"/>
                <w:b w:val="0"/>
                <w:bCs w:val="0"/>
              </w:rPr>
              <w:t>分組實作演練</w:t>
            </w:r>
          </w:p>
        </w:tc>
        <w:tc>
          <w:tcPr>
            <w:tcW w:w="3931" w:type="dxa"/>
            <w:vAlign w:val="center"/>
          </w:tcPr>
          <w:p w14:paraId="567C0A6A" w14:textId="77777777" w:rsidR="00C245BE" w:rsidRPr="00C80141" w:rsidRDefault="00C245BE" w:rsidP="001A0BFE">
            <w:pPr>
              <w:pStyle w:val="ad"/>
              <w:jc w:val="left"/>
              <w:rPr>
                <w:rFonts w:ascii="微軟正黑體" w:hAnsi="微軟正黑體"/>
                <w:b w:val="0"/>
                <w:bCs w:val="0"/>
              </w:rPr>
            </w:pPr>
            <w:r w:rsidRPr="00C80141">
              <w:rPr>
                <w:rFonts w:ascii="微軟正黑體" w:hAnsi="微軟正黑體"/>
                <w:b w:val="0"/>
                <w:bCs w:val="0"/>
              </w:rPr>
              <w:t>分小組討論節能建築案例。</w:t>
            </w:r>
          </w:p>
          <w:p w14:paraId="6FA87619" w14:textId="77777777" w:rsidR="00C245BE" w:rsidRPr="00C80141" w:rsidRDefault="00C245BE" w:rsidP="001A0BFE">
            <w:pPr>
              <w:pStyle w:val="ad"/>
              <w:jc w:val="both"/>
              <w:rPr>
                <w:rFonts w:ascii="微軟正黑體" w:hAnsi="微軟正黑體"/>
                <w:b w:val="0"/>
                <w:bCs w:val="0"/>
              </w:rPr>
            </w:pPr>
            <w:r w:rsidRPr="00C80141">
              <w:rPr>
                <w:rFonts w:ascii="微軟正黑體" w:hAnsi="微軟正黑體"/>
                <w:b w:val="0"/>
                <w:bCs w:val="0"/>
              </w:rPr>
              <w:t>住宅、辦公室能效評估的計算案例演練。</w:t>
            </w:r>
          </w:p>
        </w:tc>
        <w:tc>
          <w:tcPr>
            <w:tcW w:w="1695" w:type="dxa"/>
            <w:vAlign w:val="center"/>
          </w:tcPr>
          <w:p w14:paraId="2CC78502" w14:textId="77777777" w:rsidR="00C245BE" w:rsidRPr="00FC0A18" w:rsidRDefault="00C245BE" w:rsidP="001A0BFE">
            <w:pPr>
              <w:pStyle w:val="ad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6~7</w:t>
            </w:r>
            <w:r w:rsidRPr="00FC0A18">
              <w:rPr>
                <w:b w:val="0"/>
                <w:bCs w:val="0"/>
              </w:rPr>
              <w:t>人</w:t>
            </w:r>
            <w:r w:rsidRPr="00FC0A18">
              <w:rPr>
                <w:b w:val="0"/>
                <w:bCs w:val="0"/>
              </w:rPr>
              <w:t>1</w:t>
            </w:r>
            <w:r w:rsidRPr="00FC0A18">
              <w:rPr>
                <w:b w:val="0"/>
                <w:bCs w:val="0"/>
              </w:rPr>
              <w:t>組、共分</w:t>
            </w:r>
            <w:r>
              <w:rPr>
                <w:rFonts w:hint="eastAsia"/>
                <w:b w:val="0"/>
                <w:bCs w:val="0"/>
              </w:rPr>
              <w:t>6</w:t>
            </w:r>
            <w:r w:rsidRPr="00FC0A18">
              <w:rPr>
                <w:b w:val="0"/>
                <w:bCs w:val="0"/>
              </w:rPr>
              <w:t>組</w:t>
            </w:r>
          </w:p>
        </w:tc>
      </w:tr>
      <w:tr w:rsidR="00C245BE" w:rsidRPr="00B7225D" w14:paraId="26CB2563" w14:textId="77777777" w:rsidTr="001A0BFE">
        <w:tc>
          <w:tcPr>
            <w:tcW w:w="1951" w:type="dxa"/>
            <w:vAlign w:val="center"/>
          </w:tcPr>
          <w:p w14:paraId="1309CB7D" w14:textId="77777777" w:rsidR="00C245BE" w:rsidRDefault="00C245BE" w:rsidP="001A0BFE">
            <w:pPr>
              <w:pStyle w:val="ad"/>
              <w:rPr>
                <w:b w:val="0"/>
                <w:bCs w:val="0"/>
                <w:spacing w:val="20"/>
                <w:szCs w:val="28"/>
                <w:shd w:val="clear" w:color="auto" w:fill="FFFFFF"/>
              </w:rPr>
            </w:pP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15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40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-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16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79D03E5E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綜合討論</w:t>
            </w:r>
          </w:p>
        </w:tc>
        <w:tc>
          <w:tcPr>
            <w:tcW w:w="3931" w:type="dxa"/>
            <w:vAlign w:val="center"/>
          </w:tcPr>
          <w:p w14:paraId="44F592AF" w14:textId="77777777" w:rsidR="00C245BE" w:rsidRPr="00C80141" w:rsidRDefault="00C245BE" w:rsidP="001A0BFE">
            <w:pPr>
              <w:pStyle w:val="ad"/>
              <w:jc w:val="left"/>
              <w:rPr>
                <w:rFonts w:ascii="微軟正黑體" w:hAnsi="微軟正黑體"/>
                <w:b w:val="0"/>
                <w:bCs w:val="0"/>
              </w:rPr>
            </w:pPr>
          </w:p>
        </w:tc>
        <w:tc>
          <w:tcPr>
            <w:tcW w:w="1695" w:type="dxa"/>
            <w:vAlign w:val="center"/>
          </w:tcPr>
          <w:p w14:paraId="1C092B34" w14:textId="77777777" w:rsidR="00C245BE" w:rsidRPr="00FC0A18" w:rsidRDefault="00C245BE" w:rsidP="001A0BFE">
            <w:pPr>
              <w:pStyle w:val="ad"/>
              <w:jc w:val="left"/>
              <w:rPr>
                <w:b w:val="0"/>
                <w:bCs w:val="0"/>
              </w:rPr>
            </w:pPr>
          </w:p>
        </w:tc>
      </w:tr>
      <w:tr w:rsidR="00C245BE" w:rsidRPr="00B7225D" w14:paraId="07992405" w14:textId="77777777" w:rsidTr="001A0BFE">
        <w:tc>
          <w:tcPr>
            <w:tcW w:w="1951" w:type="dxa"/>
            <w:vAlign w:val="center"/>
          </w:tcPr>
          <w:p w14:paraId="5A6602FB" w14:textId="77777777" w:rsidR="00C245BE" w:rsidRPr="00C67C27" w:rsidRDefault="00C245BE" w:rsidP="001A0BFE">
            <w:pPr>
              <w:pStyle w:val="ad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16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:</w:t>
            </w:r>
            <w:r>
              <w:rPr>
                <w:rFonts w:hint="eastAsia"/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  <w:r w:rsidRPr="00C67C27">
              <w:rPr>
                <w:b w:val="0"/>
                <w:bCs w:val="0"/>
                <w:spacing w:val="20"/>
                <w:szCs w:val="28"/>
                <w:shd w:val="clear" w:color="auto" w:fill="FFFFFF"/>
              </w:rPr>
              <w:t>0</w:t>
            </w:r>
          </w:p>
        </w:tc>
        <w:tc>
          <w:tcPr>
            <w:tcW w:w="2164" w:type="dxa"/>
            <w:vAlign w:val="center"/>
          </w:tcPr>
          <w:p w14:paraId="168D43FB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  <w:r>
              <w:rPr>
                <w:rFonts w:ascii="微軟正黑體" w:hAnsi="微軟正黑體" w:hint="eastAsia"/>
                <w:b w:val="0"/>
                <w:bCs w:val="0"/>
              </w:rPr>
              <w:t>賦歸</w:t>
            </w:r>
          </w:p>
        </w:tc>
        <w:tc>
          <w:tcPr>
            <w:tcW w:w="3931" w:type="dxa"/>
            <w:vAlign w:val="center"/>
          </w:tcPr>
          <w:p w14:paraId="4475C422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  <w:tc>
          <w:tcPr>
            <w:tcW w:w="1695" w:type="dxa"/>
            <w:vAlign w:val="center"/>
          </w:tcPr>
          <w:p w14:paraId="74F21EEB" w14:textId="77777777" w:rsidR="00C245BE" w:rsidRPr="00C80141" w:rsidRDefault="00C245BE" w:rsidP="001A0BFE">
            <w:pPr>
              <w:pStyle w:val="ad"/>
              <w:rPr>
                <w:rFonts w:ascii="微軟正黑體" w:hAnsi="微軟正黑體"/>
                <w:b w:val="0"/>
                <w:bCs w:val="0"/>
              </w:rPr>
            </w:pPr>
          </w:p>
        </w:tc>
      </w:tr>
    </w:tbl>
    <w:p w14:paraId="7A51D16F" w14:textId="7C70AAA6" w:rsidR="00C245BE" w:rsidRPr="00C245BE" w:rsidRDefault="00C245BE" w:rsidP="00C245BE">
      <w:pPr>
        <w:pStyle w:val="3"/>
        <w:numPr>
          <w:ilvl w:val="0"/>
          <w:numId w:val="3"/>
        </w:numPr>
        <w:spacing w:line="312" w:lineRule="auto"/>
        <w:ind w:left="601" w:hanging="601"/>
        <w:rPr>
          <w:rFonts w:cs="Times New Roman"/>
        </w:rPr>
      </w:pPr>
      <w:r w:rsidRPr="00C245BE">
        <w:rPr>
          <w:rFonts w:cs="Times New Roman" w:hint="eastAsia"/>
        </w:rPr>
        <w:t>課程結業證書</w:t>
      </w:r>
    </w:p>
    <w:p w14:paraId="2FDC7FCB" w14:textId="1F7D6757" w:rsidR="00C245BE" w:rsidRDefault="00C245BE" w:rsidP="00C245BE">
      <w:r w:rsidRPr="007B3AD7">
        <w:rPr>
          <w:rFonts w:hint="eastAsia"/>
        </w:rPr>
        <w:t>規劃學員在符合以下</w:t>
      </w:r>
      <w:r w:rsidRPr="007B3AD7">
        <w:rPr>
          <w:rFonts w:hint="eastAsia"/>
        </w:rPr>
        <w:t>3</w:t>
      </w:r>
      <w:r w:rsidRPr="007B3AD7">
        <w:rPr>
          <w:rFonts w:hint="eastAsia"/>
        </w:rPr>
        <w:t>項條件後，發予學員本課程的結業證書，條件包括：</w:t>
      </w:r>
    </w:p>
    <w:p w14:paraId="391F5AF3" w14:textId="2260C64C" w:rsidR="00C245BE" w:rsidRDefault="00C245BE" w:rsidP="00C245BE">
      <w:pPr>
        <w:ind w:leftChars="253" w:left="708" w:firstLineChars="0" w:firstLine="1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學員完成全程的課程</w:t>
      </w:r>
    </w:p>
    <w:p w14:paraId="02F0EBB5" w14:textId="1FAA5C0D" w:rsidR="00C245BE" w:rsidRDefault="00C245BE" w:rsidP="00C245BE">
      <w:pPr>
        <w:ind w:leftChars="253" w:left="708" w:firstLineChars="0" w:firstLine="1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學員</w:t>
      </w:r>
      <w:r w:rsidRPr="007B3AD7">
        <w:rPr>
          <w:rFonts w:hint="eastAsia"/>
        </w:rPr>
        <w:t>確實完成簽到及簽退。</w:t>
      </w:r>
    </w:p>
    <w:p w14:paraId="6F8F208B" w14:textId="732F550A" w:rsidR="00C245BE" w:rsidRDefault="00C245BE" w:rsidP="00C245BE">
      <w:pPr>
        <w:ind w:leftChars="253" w:left="708" w:firstLineChars="0" w:firstLine="1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學員</w:t>
      </w:r>
      <w:r w:rsidRPr="007B3AD7">
        <w:rPr>
          <w:rFonts w:hint="eastAsia"/>
        </w:rPr>
        <w:t>的考試成績達</w:t>
      </w:r>
      <w:r w:rsidRPr="007B3AD7">
        <w:rPr>
          <w:rFonts w:hint="eastAsia"/>
        </w:rPr>
        <w:t>80</w:t>
      </w:r>
      <w:r w:rsidRPr="007B3AD7">
        <w:rPr>
          <w:rFonts w:hint="eastAsia"/>
        </w:rPr>
        <w:t>分。</w:t>
      </w:r>
    </w:p>
    <w:p w14:paraId="6C830B35" w14:textId="7FD78C83" w:rsidR="00C245BE" w:rsidRPr="00C245BE" w:rsidRDefault="00C245BE" w:rsidP="00C245BE">
      <w:pPr>
        <w:ind w:firstLineChars="0" w:firstLine="0"/>
        <w:jc w:val="center"/>
      </w:pPr>
    </w:p>
    <w:p w14:paraId="1EA7680D" w14:textId="44EEF610" w:rsidR="00C245BE" w:rsidRDefault="00C245BE" w:rsidP="009F435A">
      <w:pPr>
        <w:pStyle w:val="3"/>
        <w:numPr>
          <w:ilvl w:val="0"/>
          <w:numId w:val="3"/>
        </w:numPr>
        <w:spacing w:line="312" w:lineRule="auto"/>
        <w:ind w:left="601" w:hanging="601"/>
        <w:rPr>
          <w:rFonts w:cs="Times New Roman"/>
        </w:rPr>
      </w:pPr>
      <w:r>
        <w:rPr>
          <w:rFonts w:cs="Times New Roman" w:hint="eastAsia"/>
        </w:rPr>
        <w:t>報名方式</w:t>
      </w:r>
    </w:p>
    <w:p w14:paraId="35F0A6F0" w14:textId="77777777" w:rsidR="00C245BE" w:rsidRDefault="00C245BE" w:rsidP="00C245BE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報名方式：</w:t>
      </w:r>
    </w:p>
    <w:p w14:paraId="137E0569" w14:textId="625B0021" w:rsidR="003F47D2" w:rsidRDefault="003F47D2" w:rsidP="003F47D2">
      <w:pPr>
        <w:pStyle w:val="af7"/>
      </w:pPr>
      <w:r>
        <w:rPr>
          <w:rFonts w:hint="eastAsia"/>
        </w:rPr>
        <w:t>1</w:t>
      </w:r>
      <w:r>
        <w:rPr>
          <w:rFonts w:hint="eastAsia"/>
        </w:rPr>
        <w:t>、報名方式一律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報名，報名網址：</w:t>
      </w:r>
      <w:r w:rsidRPr="00EC4743">
        <w:t>https://reurl.cc/04mXy6</w:t>
      </w:r>
    </w:p>
    <w:p w14:paraId="1A38F6BE" w14:textId="1220B5D9" w:rsidR="00C245BE" w:rsidRDefault="00C245BE" w:rsidP="00C245BE">
      <w:r>
        <w:rPr>
          <w:rFonts w:hint="eastAsia"/>
        </w:rPr>
        <w:t xml:space="preserve">    </w:t>
      </w:r>
      <w:r>
        <w:rPr>
          <w:rFonts w:hint="eastAsia"/>
        </w:rPr>
        <w:t>報名</w:t>
      </w:r>
      <w:r>
        <w:rPr>
          <w:rFonts w:hint="eastAsia"/>
        </w:rPr>
        <w:t>QR</w:t>
      </w:r>
      <w:r>
        <w:rPr>
          <w:rFonts w:hint="eastAsia"/>
        </w:rPr>
        <w:t>碼：</w:t>
      </w:r>
      <w:r w:rsidRPr="00EC4743">
        <w:rPr>
          <w:noProof/>
        </w:rPr>
        <w:drawing>
          <wp:inline distT="0" distB="0" distL="0" distR="0" wp14:anchorId="523963CF" wp14:editId="7EB6DBA8">
            <wp:extent cx="2380952" cy="2380952"/>
            <wp:effectExtent l="0" t="0" r="635" b="635"/>
            <wp:docPr id="141666185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6185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0952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0BED01C7" w14:textId="318394AF" w:rsidR="003F47D2" w:rsidRDefault="003F47D2" w:rsidP="003F47D2">
      <w:pPr>
        <w:pStyle w:val="af7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教師請至全國教師在職進修資訊網報名。</w:t>
      </w:r>
    </w:p>
    <w:p w14:paraId="165E9597" w14:textId="77777777" w:rsidR="00C245BE" w:rsidRDefault="00C245BE" w:rsidP="00C245BE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連絡電話：</w:t>
      </w:r>
    </w:p>
    <w:p w14:paraId="459D8F08" w14:textId="77777777" w:rsidR="00C245BE" w:rsidRDefault="00C245BE" w:rsidP="00C245BE">
      <w:pPr>
        <w:pStyle w:val="af7"/>
      </w:pPr>
      <w:r>
        <w:rPr>
          <w:rFonts w:hint="eastAsia"/>
        </w:rPr>
        <w:t>方達科技股份有限公司</w:t>
      </w:r>
      <w:r>
        <w:rPr>
          <w:rFonts w:hint="eastAsia"/>
        </w:rPr>
        <w:t xml:space="preserve"> </w:t>
      </w:r>
      <w:r w:rsidRPr="00EC4743">
        <w:rPr>
          <w:rFonts w:hint="eastAsia"/>
        </w:rPr>
        <w:t>05-3621011</w:t>
      </w:r>
      <w:r w:rsidRPr="00EC4743">
        <w:rPr>
          <w:rFonts w:hint="eastAsia"/>
        </w:rPr>
        <w:t>李先生或林小姐</w:t>
      </w:r>
    </w:p>
    <w:p w14:paraId="48850331" w14:textId="77777777" w:rsidR="00C245BE" w:rsidRDefault="00C245BE" w:rsidP="00C245BE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報名截止日期：</w:t>
      </w:r>
    </w:p>
    <w:p w14:paraId="31D84E1C" w14:textId="77777777" w:rsidR="00C245BE" w:rsidRPr="00EC4743" w:rsidRDefault="00C245BE" w:rsidP="00C245BE">
      <w:pPr>
        <w:pStyle w:val="af7"/>
      </w:pP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前截止報名，或額滿為止。</w:t>
      </w:r>
    </w:p>
    <w:p w14:paraId="0E1DC263" w14:textId="478D9C06" w:rsidR="00070C43" w:rsidRPr="009F435A" w:rsidRDefault="007F1877" w:rsidP="009F435A">
      <w:pPr>
        <w:pStyle w:val="3"/>
        <w:numPr>
          <w:ilvl w:val="0"/>
          <w:numId w:val="3"/>
        </w:numPr>
        <w:spacing w:line="312" w:lineRule="auto"/>
        <w:ind w:left="601" w:hanging="601"/>
        <w:rPr>
          <w:rFonts w:cs="Times New Roman"/>
        </w:rPr>
      </w:pPr>
      <w:r w:rsidRPr="009F435A">
        <w:rPr>
          <w:rFonts w:cs="Times New Roman"/>
        </w:rPr>
        <w:t>預期效益</w:t>
      </w:r>
    </w:p>
    <w:p w14:paraId="14E4D068" w14:textId="63163BAA" w:rsidR="00241AB6" w:rsidRPr="00C245BE" w:rsidRDefault="00C245BE" w:rsidP="00393360">
      <w:r w:rsidRPr="007B3AD7">
        <w:rPr>
          <w:rFonts w:hint="eastAsia"/>
        </w:rPr>
        <w:t>期盼透過訓練的方式使更多民眾</w:t>
      </w:r>
      <w:proofErr w:type="gramStart"/>
      <w:r w:rsidRPr="007B3AD7">
        <w:rPr>
          <w:rFonts w:hint="eastAsia"/>
        </w:rPr>
        <w:t>獲得淨零相關</w:t>
      </w:r>
      <w:proofErr w:type="gramEnd"/>
      <w:r w:rsidRPr="007B3AD7">
        <w:rPr>
          <w:rFonts w:hint="eastAsia"/>
        </w:rPr>
        <w:t>知識</w:t>
      </w:r>
      <w:proofErr w:type="gramStart"/>
      <w:r w:rsidRPr="007B3AD7">
        <w:rPr>
          <w:rFonts w:hint="eastAsia"/>
        </w:rPr>
        <w:t>以外，</w:t>
      </w:r>
      <w:proofErr w:type="gramEnd"/>
      <w:r w:rsidRPr="007B3AD7">
        <w:rPr>
          <w:rFonts w:hint="eastAsia"/>
        </w:rPr>
        <w:t>更進一步地，改變以往過去只用講習課程的教學方式，加入小組實作演練的方式，</w:t>
      </w:r>
      <w:proofErr w:type="gramStart"/>
      <w:r w:rsidRPr="007B3AD7">
        <w:rPr>
          <w:rFonts w:hint="eastAsia"/>
        </w:rPr>
        <w:t>提升對節電</w:t>
      </w:r>
      <w:proofErr w:type="gramEnd"/>
      <w:r w:rsidRPr="007B3AD7">
        <w:rPr>
          <w:rFonts w:hint="eastAsia"/>
        </w:rPr>
        <w:t>知識的實際運用，</w:t>
      </w:r>
      <w:r w:rsidRPr="00EC4743">
        <w:rPr>
          <w:rFonts w:hint="eastAsia"/>
        </w:rPr>
        <w:t>讓學員學習住宅能效評估系統</w:t>
      </w:r>
      <w:r w:rsidRPr="00EC4743">
        <w:rPr>
          <w:rFonts w:hint="eastAsia"/>
        </w:rPr>
        <w:t>R-BERS</w:t>
      </w:r>
      <w:r w:rsidRPr="00EC4743">
        <w:rPr>
          <w:rFonts w:hint="eastAsia"/>
        </w:rPr>
        <w:t>的評估原理並具備評估建築能源效率和環境可持續性的能力</w:t>
      </w:r>
      <w:r>
        <w:rPr>
          <w:rFonts w:hint="eastAsia"/>
        </w:rPr>
        <w:t>，</w:t>
      </w:r>
      <w:r w:rsidRPr="007B3AD7">
        <w:rPr>
          <w:rFonts w:hint="eastAsia"/>
        </w:rPr>
        <w:t>以利嘉義縣環保局可以獲得</w:t>
      </w:r>
      <w:proofErr w:type="gramStart"/>
      <w:r w:rsidRPr="007B3AD7">
        <w:rPr>
          <w:rFonts w:hint="eastAsia"/>
        </w:rPr>
        <w:t>真正懂節電</w:t>
      </w:r>
      <w:proofErr w:type="gramEnd"/>
      <w:r w:rsidRPr="007B3AD7">
        <w:rPr>
          <w:rFonts w:hint="eastAsia"/>
        </w:rPr>
        <w:t>低碳的「節電規劃師」，共同為嘉義在地推動</w:t>
      </w:r>
      <w:proofErr w:type="gramStart"/>
      <w:r w:rsidRPr="007B3AD7">
        <w:rPr>
          <w:rFonts w:hint="eastAsia"/>
        </w:rPr>
        <w:t>淨零低</w:t>
      </w:r>
      <w:proofErr w:type="gramEnd"/>
      <w:r w:rsidRPr="007B3AD7">
        <w:rPr>
          <w:rFonts w:hint="eastAsia"/>
        </w:rPr>
        <w:t>碳相關作為，以達到</w:t>
      </w:r>
      <w:r w:rsidRPr="007B3AD7">
        <w:rPr>
          <w:rFonts w:hint="eastAsia"/>
        </w:rPr>
        <w:t>2050</w:t>
      </w:r>
      <w:proofErr w:type="gramStart"/>
      <w:r w:rsidRPr="007B3AD7">
        <w:rPr>
          <w:rFonts w:hint="eastAsia"/>
        </w:rPr>
        <w:t>淨零排放</w:t>
      </w:r>
      <w:proofErr w:type="gramEnd"/>
      <w:r w:rsidRPr="007B3AD7">
        <w:rPr>
          <w:rFonts w:hint="eastAsia"/>
        </w:rPr>
        <w:t>的目標</w:t>
      </w:r>
      <w:r w:rsidR="00DA45EE" w:rsidRPr="00070C43">
        <w:t>。</w:t>
      </w:r>
    </w:p>
    <w:sectPr w:rsidR="00241AB6" w:rsidRPr="00C245BE" w:rsidSect="00B66A2B">
      <w:footerReference w:type="default" r:id="rId15"/>
      <w:pgSz w:w="11906" w:h="16838"/>
      <w:pgMar w:top="1418" w:right="1134" w:bottom="1418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7B961" w14:textId="77777777" w:rsidR="004200B1" w:rsidRDefault="004200B1" w:rsidP="00BB3F13">
      <w:pPr>
        <w:spacing w:before="120" w:after="120"/>
      </w:pPr>
      <w:r>
        <w:separator/>
      </w:r>
    </w:p>
  </w:endnote>
  <w:endnote w:type="continuationSeparator" w:id="0">
    <w:p w14:paraId="617F5CDA" w14:textId="77777777" w:rsidR="004200B1" w:rsidRDefault="004200B1" w:rsidP="00BB3F13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DC754" w14:textId="77777777" w:rsidR="00CA2F57" w:rsidRDefault="00CA2F57" w:rsidP="00BB3F13">
    <w:pPr>
      <w:pStyle w:val="af5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09581" w14:textId="77777777" w:rsidR="00CA2F57" w:rsidRDefault="00CA2F57" w:rsidP="00BB3F13">
    <w:pPr>
      <w:pStyle w:val="af5"/>
      <w:spacing w:before="120" w:after="120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FBF5" w14:textId="77777777" w:rsidR="00CA2F57" w:rsidRDefault="00CA2F57" w:rsidP="00BB3F13">
    <w:pPr>
      <w:pStyle w:val="af5"/>
      <w:spacing w:before="120" w:after="120"/>
      <w:ind w:firstLine="4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0608535"/>
      <w:docPartObj>
        <w:docPartGallery w:val="Page Numbers (Bottom of Page)"/>
        <w:docPartUnique/>
      </w:docPartObj>
    </w:sdtPr>
    <w:sdtEndPr/>
    <w:sdtContent>
      <w:p w14:paraId="6802DF7A" w14:textId="0137E501" w:rsidR="00B66A2B" w:rsidRDefault="00B66A2B" w:rsidP="00782668">
        <w:pPr>
          <w:pStyle w:val="af5"/>
          <w:spacing w:before="120" w:after="120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173" w:rsidRPr="002F6173">
          <w:rPr>
            <w:noProof/>
            <w:lang w:val="zh-TW"/>
          </w:rPr>
          <w:t>4</w:t>
        </w:r>
        <w:r>
          <w:fldChar w:fldCharType="end"/>
        </w:r>
      </w:p>
    </w:sdtContent>
  </w:sdt>
  <w:p w14:paraId="6C707AC1" w14:textId="77777777" w:rsidR="00B66A2B" w:rsidRDefault="00B66A2B" w:rsidP="00BB3F13">
    <w:pPr>
      <w:pStyle w:val="af5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A12F8" w14:textId="77777777" w:rsidR="004200B1" w:rsidRDefault="004200B1" w:rsidP="00BB3F13">
      <w:pPr>
        <w:spacing w:before="120" w:after="120"/>
      </w:pPr>
      <w:r>
        <w:separator/>
      </w:r>
    </w:p>
  </w:footnote>
  <w:footnote w:type="continuationSeparator" w:id="0">
    <w:p w14:paraId="1B948270" w14:textId="77777777" w:rsidR="004200B1" w:rsidRDefault="004200B1" w:rsidP="00BB3F13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0CC4F" w14:textId="77777777" w:rsidR="00CA2F57" w:rsidRDefault="00CA2F57" w:rsidP="00BB3F13">
    <w:pPr>
      <w:pStyle w:val="af3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50039" w14:textId="77777777" w:rsidR="00CA2F57" w:rsidRDefault="00CA2F57" w:rsidP="00BB3F13">
    <w:pPr>
      <w:pStyle w:val="af3"/>
      <w:spacing w:before="120" w:after="120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F72AF" w14:textId="77777777" w:rsidR="00CA2F57" w:rsidRDefault="00CA2F57" w:rsidP="00BB3F13">
    <w:pPr>
      <w:pStyle w:val="af3"/>
      <w:spacing w:before="120" w:after="120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D10DCF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5C5736"/>
    <w:multiLevelType w:val="hybridMultilevel"/>
    <w:tmpl w:val="D2F0CDC0"/>
    <w:lvl w:ilvl="0" w:tplc="0409000F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" w15:restartNumberingAfterBreak="0">
    <w:nsid w:val="083B71AA"/>
    <w:multiLevelType w:val="hybridMultilevel"/>
    <w:tmpl w:val="D74C1B7C"/>
    <w:lvl w:ilvl="0" w:tplc="3350FB2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98C6DE6"/>
    <w:multiLevelType w:val="hybridMultilevel"/>
    <w:tmpl w:val="188E49E4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9D700D"/>
    <w:multiLevelType w:val="hybridMultilevel"/>
    <w:tmpl w:val="F626B5C4"/>
    <w:lvl w:ilvl="0" w:tplc="0409000F">
      <w:start w:val="1"/>
      <w:numFmt w:val="decimal"/>
      <w:lvlText w:val="%1."/>
      <w:lvlJc w:val="left"/>
      <w:pPr>
        <w:ind w:left="1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6" w:hanging="480"/>
      </w:pPr>
    </w:lvl>
    <w:lvl w:ilvl="2" w:tplc="0409001B" w:tentative="1">
      <w:start w:val="1"/>
      <w:numFmt w:val="lowerRoman"/>
      <w:lvlText w:val="%3."/>
      <w:lvlJc w:val="right"/>
      <w:pPr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ind w:left="2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6" w:hanging="480"/>
      </w:pPr>
    </w:lvl>
    <w:lvl w:ilvl="5" w:tplc="0409001B" w:tentative="1">
      <w:start w:val="1"/>
      <w:numFmt w:val="lowerRoman"/>
      <w:lvlText w:val="%6."/>
      <w:lvlJc w:val="right"/>
      <w:pPr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ind w:left="5376" w:hanging="480"/>
      </w:pPr>
    </w:lvl>
  </w:abstractNum>
  <w:abstractNum w:abstractNumId="5" w15:restartNumberingAfterBreak="0">
    <w:nsid w:val="1C5513F1"/>
    <w:multiLevelType w:val="hybridMultilevel"/>
    <w:tmpl w:val="6CA6B7B4"/>
    <w:lvl w:ilvl="0" w:tplc="1D6E8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0734F3"/>
    <w:multiLevelType w:val="hybridMultilevel"/>
    <w:tmpl w:val="0E040B0E"/>
    <w:lvl w:ilvl="0" w:tplc="10CA7E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43FE29D5"/>
    <w:multiLevelType w:val="hybridMultilevel"/>
    <w:tmpl w:val="33AA61B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47486192"/>
    <w:multiLevelType w:val="hybridMultilevel"/>
    <w:tmpl w:val="D8827AB6"/>
    <w:lvl w:ilvl="0" w:tplc="30CC4A68">
      <w:start w:val="1"/>
      <w:numFmt w:val="decimal"/>
      <w:lvlText w:val="(%1)"/>
      <w:lvlJc w:val="left"/>
      <w:pPr>
        <w:ind w:left="144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6" w:hanging="480"/>
      </w:pPr>
    </w:lvl>
    <w:lvl w:ilvl="2" w:tplc="0409001B" w:tentative="1">
      <w:start w:val="1"/>
      <w:numFmt w:val="lowerRoman"/>
      <w:lvlText w:val="%3."/>
      <w:lvlJc w:val="right"/>
      <w:pPr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ind w:left="2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6" w:hanging="480"/>
      </w:pPr>
    </w:lvl>
    <w:lvl w:ilvl="5" w:tplc="0409001B" w:tentative="1">
      <w:start w:val="1"/>
      <w:numFmt w:val="lowerRoman"/>
      <w:lvlText w:val="%6."/>
      <w:lvlJc w:val="right"/>
      <w:pPr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ind w:left="5376" w:hanging="480"/>
      </w:pPr>
    </w:lvl>
  </w:abstractNum>
  <w:abstractNum w:abstractNumId="9" w15:restartNumberingAfterBreak="0">
    <w:nsid w:val="4AE45381"/>
    <w:multiLevelType w:val="hybridMultilevel"/>
    <w:tmpl w:val="AD02B9DE"/>
    <w:lvl w:ilvl="0" w:tplc="5DB67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501762"/>
    <w:multiLevelType w:val="hybridMultilevel"/>
    <w:tmpl w:val="7EBA0CF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69C3684"/>
    <w:multiLevelType w:val="hybridMultilevel"/>
    <w:tmpl w:val="F626B5C4"/>
    <w:lvl w:ilvl="0" w:tplc="FFFFFFFF">
      <w:start w:val="1"/>
      <w:numFmt w:val="decimal"/>
      <w:lvlText w:val="%1."/>
      <w:lvlJc w:val="left"/>
      <w:pPr>
        <w:ind w:left="153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16" w:hanging="480"/>
      </w:pPr>
    </w:lvl>
    <w:lvl w:ilvl="2" w:tplc="FFFFFFFF" w:tentative="1">
      <w:start w:val="1"/>
      <w:numFmt w:val="lowerRoman"/>
      <w:lvlText w:val="%3."/>
      <w:lvlJc w:val="right"/>
      <w:pPr>
        <w:ind w:left="2496" w:hanging="480"/>
      </w:pPr>
    </w:lvl>
    <w:lvl w:ilvl="3" w:tplc="FFFFFFFF" w:tentative="1">
      <w:start w:val="1"/>
      <w:numFmt w:val="decimal"/>
      <w:lvlText w:val="%4."/>
      <w:lvlJc w:val="left"/>
      <w:pPr>
        <w:ind w:left="29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56" w:hanging="480"/>
      </w:pPr>
    </w:lvl>
    <w:lvl w:ilvl="5" w:tplc="FFFFFFFF" w:tentative="1">
      <w:start w:val="1"/>
      <w:numFmt w:val="lowerRoman"/>
      <w:lvlText w:val="%6."/>
      <w:lvlJc w:val="right"/>
      <w:pPr>
        <w:ind w:left="3936" w:hanging="480"/>
      </w:pPr>
    </w:lvl>
    <w:lvl w:ilvl="6" w:tplc="FFFFFFFF" w:tentative="1">
      <w:start w:val="1"/>
      <w:numFmt w:val="decimal"/>
      <w:lvlText w:val="%7."/>
      <w:lvlJc w:val="left"/>
      <w:pPr>
        <w:ind w:left="44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96" w:hanging="480"/>
      </w:pPr>
    </w:lvl>
    <w:lvl w:ilvl="8" w:tplc="FFFFFFFF" w:tentative="1">
      <w:start w:val="1"/>
      <w:numFmt w:val="lowerRoman"/>
      <w:lvlText w:val="%9."/>
      <w:lvlJc w:val="right"/>
      <w:pPr>
        <w:ind w:left="5376" w:hanging="480"/>
      </w:pPr>
    </w:lvl>
  </w:abstractNum>
  <w:abstractNum w:abstractNumId="12" w15:restartNumberingAfterBreak="0">
    <w:nsid w:val="6B0742A2"/>
    <w:multiLevelType w:val="hybridMultilevel"/>
    <w:tmpl w:val="10D2C4E0"/>
    <w:lvl w:ilvl="0" w:tplc="69B82D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F8F7D72"/>
    <w:multiLevelType w:val="hybridMultilevel"/>
    <w:tmpl w:val="BEB49526"/>
    <w:lvl w:ilvl="0" w:tplc="A0C64A8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0507231"/>
    <w:multiLevelType w:val="hybridMultilevel"/>
    <w:tmpl w:val="0BFAC610"/>
    <w:lvl w:ilvl="0" w:tplc="A15E2CEC">
      <w:start w:val="1"/>
      <w:numFmt w:val="decimal"/>
      <w:lvlText w:val="（%1）"/>
      <w:lvlJc w:val="left"/>
      <w:pPr>
        <w:ind w:left="2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5" w15:restartNumberingAfterBreak="0">
    <w:nsid w:val="7845416F"/>
    <w:multiLevelType w:val="hybridMultilevel"/>
    <w:tmpl w:val="206673C0"/>
    <w:lvl w:ilvl="0" w:tplc="1DAA71D4">
      <w:start w:val="1"/>
      <w:numFmt w:val="taiwaneseCountingThousand"/>
      <w:lvlText w:val="(%1)"/>
      <w:lvlJc w:val="left"/>
      <w:pPr>
        <w:ind w:left="196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7D0B65CC"/>
    <w:multiLevelType w:val="hybridMultilevel"/>
    <w:tmpl w:val="DE2828B0"/>
    <w:lvl w:ilvl="0" w:tplc="635EA3E0">
      <w:start w:val="1"/>
      <w:numFmt w:val="taiwaneseCountingThousand"/>
      <w:pStyle w:val="4"/>
      <w:lvlText w:val="%1、"/>
      <w:lvlJc w:val="left"/>
      <w:pPr>
        <w:ind w:left="98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E7657D5"/>
    <w:multiLevelType w:val="hybridMultilevel"/>
    <w:tmpl w:val="B83E976A"/>
    <w:lvl w:ilvl="0" w:tplc="34AAA790">
      <w:start w:val="1"/>
      <w:numFmt w:val="decimal"/>
      <w:lvlText w:val="%1."/>
      <w:lvlJc w:val="left"/>
      <w:pPr>
        <w:ind w:left="20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1" w:hanging="480"/>
      </w:pPr>
    </w:lvl>
    <w:lvl w:ilvl="2" w:tplc="0409001B" w:tentative="1">
      <w:start w:val="1"/>
      <w:numFmt w:val="lowerRoman"/>
      <w:lvlText w:val="%3."/>
      <w:lvlJc w:val="right"/>
      <w:pPr>
        <w:ind w:left="2991" w:hanging="480"/>
      </w:pPr>
    </w:lvl>
    <w:lvl w:ilvl="3" w:tplc="0409000F" w:tentative="1">
      <w:start w:val="1"/>
      <w:numFmt w:val="decimal"/>
      <w:lvlText w:val="%4."/>
      <w:lvlJc w:val="left"/>
      <w:pPr>
        <w:ind w:left="3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1" w:hanging="480"/>
      </w:pPr>
    </w:lvl>
    <w:lvl w:ilvl="5" w:tplc="0409001B" w:tentative="1">
      <w:start w:val="1"/>
      <w:numFmt w:val="lowerRoman"/>
      <w:lvlText w:val="%6."/>
      <w:lvlJc w:val="right"/>
      <w:pPr>
        <w:ind w:left="4431" w:hanging="480"/>
      </w:pPr>
    </w:lvl>
    <w:lvl w:ilvl="6" w:tplc="0409000F" w:tentative="1">
      <w:start w:val="1"/>
      <w:numFmt w:val="decimal"/>
      <w:lvlText w:val="%7."/>
      <w:lvlJc w:val="left"/>
      <w:pPr>
        <w:ind w:left="4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1" w:hanging="480"/>
      </w:pPr>
    </w:lvl>
    <w:lvl w:ilvl="8" w:tplc="0409001B" w:tentative="1">
      <w:start w:val="1"/>
      <w:numFmt w:val="lowerRoman"/>
      <w:lvlText w:val="%9."/>
      <w:lvlJc w:val="right"/>
      <w:pPr>
        <w:ind w:left="5871" w:hanging="480"/>
      </w:p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5"/>
  </w:num>
  <w:num w:numId="5">
    <w:abstractNumId w:val="9"/>
  </w:num>
  <w:num w:numId="6">
    <w:abstractNumId w:val="3"/>
  </w:num>
  <w:num w:numId="7">
    <w:abstractNumId w:val="14"/>
  </w:num>
  <w:num w:numId="8">
    <w:abstractNumId w:val="15"/>
  </w:num>
  <w:num w:numId="9">
    <w:abstractNumId w:val="17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</w:num>
  <w:num w:numId="21">
    <w:abstractNumId w:val="6"/>
  </w:num>
  <w:num w:numId="22">
    <w:abstractNumId w:val="10"/>
  </w:num>
  <w:num w:numId="23">
    <w:abstractNumId w:val="16"/>
  </w:num>
  <w:num w:numId="24">
    <w:abstractNumId w:val="4"/>
  </w:num>
  <w:num w:numId="25">
    <w:abstractNumId w:val="8"/>
  </w:num>
  <w:num w:numId="26">
    <w:abstractNumId w:val="7"/>
  </w:num>
  <w:num w:numId="27">
    <w:abstractNumId w:val="2"/>
  </w:num>
  <w:num w:numId="28">
    <w:abstractNumId w:val="5"/>
  </w:num>
  <w:num w:numId="29">
    <w:abstractNumId w:val="0"/>
  </w:num>
  <w:num w:numId="30">
    <w:abstractNumId w:val="1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77"/>
    <w:rsid w:val="000043DC"/>
    <w:rsid w:val="000616DA"/>
    <w:rsid w:val="00070C43"/>
    <w:rsid w:val="00097F32"/>
    <w:rsid w:val="000C2739"/>
    <w:rsid w:val="000D2B75"/>
    <w:rsid w:val="000E4161"/>
    <w:rsid w:val="000E4984"/>
    <w:rsid w:val="000E766A"/>
    <w:rsid w:val="001064A6"/>
    <w:rsid w:val="00134FF4"/>
    <w:rsid w:val="001A22F9"/>
    <w:rsid w:val="00241AB6"/>
    <w:rsid w:val="00256A79"/>
    <w:rsid w:val="0029275E"/>
    <w:rsid w:val="002B1760"/>
    <w:rsid w:val="002E7EBF"/>
    <w:rsid w:val="002F6173"/>
    <w:rsid w:val="002F6CBC"/>
    <w:rsid w:val="00334C05"/>
    <w:rsid w:val="00393360"/>
    <w:rsid w:val="003A35DC"/>
    <w:rsid w:val="003A5E6B"/>
    <w:rsid w:val="003C4501"/>
    <w:rsid w:val="003C6BDB"/>
    <w:rsid w:val="003D643C"/>
    <w:rsid w:val="003E2369"/>
    <w:rsid w:val="003F2081"/>
    <w:rsid w:val="003F47D2"/>
    <w:rsid w:val="004200B1"/>
    <w:rsid w:val="00434A3D"/>
    <w:rsid w:val="00483E20"/>
    <w:rsid w:val="0048479D"/>
    <w:rsid w:val="004A05F6"/>
    <w:rsid w:val="004A40EF"/>
    <w:rsid w:val="004C4415"/>
    <w:rsid w:val="004C69AD"/>
    <w:rsid w:val="004E27A3"/>
    <w:rsid w:val="00514255"/>
    <w:rsid w:val="00527E07"/>
    <w:rsid w:val="005407E5"/>
    <w:rsid w:val="00550451"/>
    <w:rsid w:val="005548E6"/>
    <w:rsid w:val="005E3820"/>
    <w:rsid w:val="005F3BF8"/>
    <w:rsid w:val="00600400"/>
    <w:rsid w:val="0062144D"/>
    <w:rsid w:val="00631D90"/>
    <w:rsid w:val="0063646F"/>
    <w:rsid w:val="00686175"/>
    <w:rsid w:val="00692C58"/>
    <w:rsid w:val="006E12D2"/>
    <w:rsid w:val="006F4E2D"/>
    <w:rsid w:val="007350EA"/>
    <w:rsid w:val="00742ADF"/>
    <w:rsid w:val="00745561"/>
    <w:rsid w:val="00747ECE"/>
    <w:rsid w:val="00766968"/>
    <w:rsid w:val="00773598"/>
    <w:rsid w:val="00782668"/>
    <w:rsid w:val="00790C24"/>
    <w:rsid w:val="00791C29"/>
    <w:rsid w:val="007D1CB5"/>
    <w:rsid w:val="007F1877"/>
    <w:rsid w:val="00806489"/>
    <w:rsid w:val="008226DA"/>
    <w:rsid w:val="008240EA"/>
    <w:rsid w:val="00842135"/>
    <w:rsid w:val="008A223D"/>
    <w:rsid w:val="008A58F1"/>
    <w:rsid w:val="008D5410"/>
    <w:rsid w:val="008F0706"/>
    <w:rsid w:val="00907247"/>
    <w:rsid w:val="009079FF"/>
    <w:rsid w:val="0096265A"/>
    <w:rsid w:val="009D76FD"/>
    <w:rsid w:val="009F435A"/>
    <w:rsid w:val="00A23E8F"/>
    <w:rsid w:val="00A34485"/>
    <w:rsid w:val="00A4641B"/>
    <w:rsid w:val="00AA3150"/>
    <w:rsid w:val="00AA5C2C"/>
    <w:rsid w:val="00B147C6"/>
    <w:rsid w:val="00B2316F"/>
    <w:rsid w:val="00B27958"/>
    <w:rsid w:val="00B40706"/>
    <w:rsid w:val="00B41DAB"/>
    <w:rsid w:val="00B46161"/>
    <w:rsid w:val="00B56867"/>
    <w:rsid w:val="00B66A2B"/>
    <w:rsid w:val="00B744AC"/>
    <w:rsid w:val="00B85D8E"/>
    <w:rsid w:val="00BB0F17"/>
    <w:rsid w:val="00BB1BFF"/>
    <w:rsid w:val="00BB3F13"/>
    <w:rsid w:val="00BD7293"/>
    <w:rsid w:val="00BE2D3A"/>
    <w:rsid w:val="00BE5751"/>
    <w:rsid w:val="00C014F9"/>
    <w:rsid w:val="00C03DEC"/>
    <w:rsid w:val="00C044EC"/>
    <w:rsid w:val="00C17F01"/>
    <w:rsid w:val="00C245BE"/>
    <w:rsid w:val="00C62D14"/>
    <w:rsid w:val="00C85E09"/>
    <w:rsid w:val="00CA2F57"/>
    <w:rsid w:val="00CB7454"/>
    <w:rsid w:val="00CC2B02"/>
    <w:rsid w:val="00CE2DB0"/>
    <w:rsid w:val="00CE38A8"/>
    <w:rsid w:val="00CF771E"/>
    <w:rsid w:val="00D14642"/>
    <w:rsid w:val="00D24113"/>
    <w:rsid w:val="00D54798"/>
    <w:rsid w:val="00D7177C"/>
    <w:rsid w:val="00D9296B"/>
    <w:rsid w:val="00DA45EE"/>
    <w:rsid w:val="00DE3CD2"/>
    <w:rsid w:val="00DF2855"/>
    <w:rsid w:val="00EA37ED"/>
    <w:rsid w:val="00EF6412"/>
    <w:rsid w:val="00F01DE6"/>
    <w:rsid w:val="00F403F5"/>
    <w:rsid w:val="00F95E84"/>
    <w:rsid w:val="00FA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3DB3C"/>
  <w15:chartTrackingRefBased/>
  <w15:docId w15:val="{7DDCC16A-93B0-4A67-926A-4D4017E6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3F13"/>
    <w:pPr>
      <w:widowControl w:val="0"/>
      <w:snapToGrid w:val="0"/>
      <w:spacing w:beforeLines="50" w:before="180" w:afterLines="50" w:after="180"/>
      <w:ind w:firstLineChars="200" w:firstLine="560"/>
      <w:jc w:val="both"/>
    </w:pPr>
    <w:rPr>
      <w:rFonts w:ascii="Times New Roman" w:eastAsia="微軟正黑體" w:hAnsi="Times New Roman" w:cs="Times New Roman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7F1877"/>
    <w:pPr>
      <w:keepNext/>
      <w:ind w:firstLineChars="0" w:firstLine="0"/>
      <w:outlineLvl w:val="2"/>
    </w:pPr>
    <w:rPr>
      <w:rFonts w:cstheme="majorBidi"/>
      <w:b/>
      <w:bCs/>
      <w:szCs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BB3F13"/>
    <w:pPr>
      <w:keepNext/>
      <w:numPr>
        <w:numId w:val="3"/>
      </w:numPr>
      <w:spacing w:beforeLines="100" w:before="360" w:afterLines="0" w:after="0"/>
      <w:ind w:firstLineChars="0" w:firstLine="0"/>
      <w:outlineLvl w:val="3"/>
    </w:pPr>
    <w:rPr>
      <w:b/>
    </w:rPr>
  </w:style>
  <w:style w:type="paragraph" w:styleId="5">
    <w:name w:val="heading 5"/>
    <w:basedOn w:val="a1"/>
    <w:next w:val="a0"/>
    <w:link w:val="50"/>
    <w:uiPriority w:val="9"/>
    <w:unhideWhenUsed/>
    <w:qFormat/>
    <w:rsid w:val="00BB3F13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標題 3 字元"/>
    <w:basedOn w:val="a2"/>
    <w:link w:val="3"/>
    <w:uiPriority w:val="9"/>
    <w:rsid w:val="007F1877"/>
    <w:rPr>
      <w:rFonts w:ascii="Times New Roman" w:eastAsia="華康仿宋體W6(P)" w:hAnsi="Times New Roman" w:cstheme="majorBidi"/>
      <w:b/>
      <w:bCs/>
      <w:sz w:val="28"/>
      <w:szCs w:val="36"/>
    </w:rPr>
  </w:style>
  <w:style w:type="character" w:customStyle="1" w:styleId="40">
    <w:name w:val="標題 4 字元"/>
    <w:basedOn w:val="a2"/>
    <w:link w:val="4"/>
    <w:uiPriority w:val="9"/>
    <w:rsid w:val="00BB3F13"/>
    <w:rPr>
      <w:rFonts w:ascii="Times New Roman" w:eastAsia="微軟正黑體" w:hAnsi="Times New Roman" w:cs="Times New Roman"/>
      <w:b/>
      <w:sz w:val="28"/>
      <w:szCs w:val="28"/>
    </w:rPr>
  </w:style>
  <w:style w:type="character" w:customStyle="1" w:styleId="50">
    <w:name w:val="標題 5 字元"/>
    <w:basedOn w:val="a2"/>
    <w:link w:val="5"/>
    <w:uiPriority w:val="9"/>
    <w:rsid w:val="00BB3F13"/>
    <w:rPr>
      <w:rFonts w:ascii="Times New Roman" w:eastAsia="微軟正黑體" w:hAnsi="Times New Roman" w:cs="Times New Roman"/>
      <w:sz w:val="28"/>
      <w:szCs w:val="28"/>
    </w:rPr>
  </w:style>
  <w:style w:type="paragraph" w:styleId="a5">
    <w:name w:val="List Paragraph"/>
    <w:aliases w:val="詳細說明,清單段落11,表格清單,1,卑南壹,(1)括號數字標,圖片,壹、內文"/>
    <w:basedOn w:val="a0"/>
    <w:link w:val="a6"/>
    <w:qFormat/>
    <w:rsid w:val="001A22F9"/>
    <w:pPr>
      <w:ind w:left="2126" w:firstLineChars="0" w:hanging="425"/>
    </w:pPr>
  </w:style>
  <w:style w:type="paragraph" w:customStyle="1" w:styleId="a7">
    <w:name w:val="圖名稱"/>
    <w:basedOn w:val="a0"/>
    <w:link w:val="a8"/>
    <w:uiPriority w:val="99"/>
    <w:qFormat/>
    <w:rsid w:val="00A34485"/>
    <w:pPr>
      <w:widowControl/>
      <w:ind w:firstLineChars="0" w:firstLine="0"/>
      <w:jc w:val="center"/>
    </w:pPr>
    <w:rPr>
      <w:b/>
    </w:rPr>
  </w:style>
  <w:style w:type="character" w:customStyle="1" w:styleId="a8">
    <w:name w:val="圖名稱 字元"/>
    <w:basedOn w:val="a2"/>
    <w:link w:val="a7"/>
    <w:uiPriority w:val="99"/>
    <w:rsid w:val="00A34485"/>
    <w:rPr>
      <w:rFonts w:ascii="Times New Roman" w:eastAsia="微軟正黑體" w:hAnsi="Times New Roman" w:cs="Times New Roman"/>
      <w:b/>
      <w:sz w:val="28"/>
      <w:szCs w:val="28"/>
    </w:rPr>
  </w:style>
  <w:style w:type="paragraph" w:customStyle="1" w:styleId="a9">
    <w:name w:val="圖"/>
    <w:basedOn w:val="a0"/>
    <w:link w:val="aa"/>
    <w:qFormat/>
    <w:rsid w:val="007F1877"/>
    <w:pPr>
      <w:ind w:firstLineChars="0" w:firstLine="0"/>
      <w:jc w:val="center"/>
    </w:pPr>
  </w:style>
  <w:style w:type="character" w:customStyle="1" w:styleId="aa">
    <w:name w:val="圖 字元"/>
    <w:basedOn w:val="a2"/>
    <w:link w:val="a9"/>
    <w:rsid w:val="007F1877"/>
    <w:rPr>
      <w:rFonts w:ascii="Times New Roman" w:eastAsia="華康仿宋體W6(P)" w:hAnsi="Times New Roman"/>
    </w:rPr>
  </w:style>
  <w:style w:type="paragraph" w:customStyle="1" w:styleId="ab">
    <w:name w:val="表名稱"/>
    <w:basedOn w:val="a0"/>
    <w:link w:val="ac"/>
    <w:qFormat/>
    <w:rsid w:val="009F435A"/>
    <w:pPr>
      <w:adjustRightInd w:val="0"/>
      <w:ind w:firstLineChars="0" w:firstLine="0"/>
      <w:jc w:val="left"/>
    </w:pPr>
    <w:rPr>
      <w:b/>
    </w:rPr>
  </w:style>
  <w:style w:type="paragraph" w:customStyle="1" w:styleId="ad">
    <w:name w:val="表內容"/>
    <w:basedOn w:val="a0"/>
    <w:link w:val="ae"/>
    <w:qFormat/>
    <w:rsid w:val="001A22F9"/>
    <w:pPr>
      <w:adjustRightInd w:val="0"/>
      <w:spacing w:beforeLines="0" w:before="0" w:afterLines="0" w:after="0"/>
      <w:ind w:firstLineChars="0" w:firstLine="0"/>
      <w:jc w:val="center"/>
    </w:pPr>
    <w:rPr>
      <w:b/>
      <w:bCs/>
      <w:color w:val="000000"/>
      <w:szCs w:val="24"/>
    </w:rPr>
  </w:style>
  <w:style w:type="character" w:customStyle="1" w:styleId="ac">
    <w:name w:val="表名稱 字元"/>
    <w:basedOn w:val="a2"/>
    <w:link w:val="ab"/>
    <w:rsid w:val="009F435A"/>
    <w:rPr>
      <w:rFonts w:ascii="Times New Roman" w:eastAsia="微軟正黑體" w:hAnsi="Times New Roman" w:cs="Times New Roman"/>
      <w:b/>
      <w:sz w:val="28"/>
      <w:szCs w:val="28"/>
    </w:rPr>
  </w:style>
  <w:style w:type="character" w:customStyle="1" w:styleId="ae">
    <w:name w:val="表內容 字元"/>
    <w:aliases w:val="無間距 字元"/>
    <w:basedOn w:val="a2"/>
    <w:link w:val="ad"/>
    <w:rsid w:val="001A22F9"/>
    <w:rPr>
      <w:rFonts w:ascii="Times New Roman" w:eastAsia="微軟正黑體" w:hAnsi="Times New Roman" w:cs="Times New Roman"/>
      <w:b/>
      <w:bCs/>
      <w:color w:val="000000"/>
      <w:szCs w:val="24"/>
    </w:rPr>
  </w:style>
  <w:style w:type="table" w:styleId="af">
    <w:name w:val="Table Grid"/>
    <w:aliases w:val="SGS Table Basic 1,我的表格,A,A1,A2,A3"/>
    <w:basedOn w:val="a3"/>
    <w:uiPriority w:val="39"/>
    <w:qFormat/>
    <w:rsid w:val="007F187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aliases w:val="詳細說明 字元,清單段落11 字元,表格清單 字元,1 字元,卑南壹 字元,(1)括號數字標 字元,圖片 字元,壹、內文 字元"/>
    <w:basedOn w:val="a2"/>
    <w:link w:val="a5"/>
    <w:rsid w:val="001A22F9"/>
    <w:rPr>
      <w:rFonts w:ascii="Times New Roman" w:eastAsia="微軟正黑體" w:hAnsi="Times New Roman" w:cs="Times New Roman"/>
      <w:sz w:val="28"/>
      <w:szCs w:val="28"/>
    </w:rPr>
  </w:style>
  <w:style w:type="paragraph" w:customStyle="1" w:styleId="af0">
    <w:name w:val="目的裡面"/>
    <w:link w:val="af1"/>
    <w:rsid w:val="007F1877"/>
    <w:pPr>
      <w:spacing w:line="288" w:lineRule="auto"/>
      <w:ind w:leftChars="400" w:left="400"/>
      <w:jc w:val="both"/>
    </w:pPr>
    <w:rPr>
      <w:rFonts w:eastAsia="華康仿宋體W6"/>
    </w:rPr>
  </w:style>
  <w:style w:type="character" w:customStyle="1" w:styleId="af1">
    <w:name w:val="目的裡面 字元"/>
    <w:basedOn w:val="a2"/>
    <w:link w:val="af0"/>
    <w:rsid w:val="007F1877"/>
    <w:rPr>
      <w:rFonts w:eastAsia="華康仿宋體W6"/>
    </w:rPr>
  </w:style>
  <w:style w:type="table" w:customStyle="1" w:styleId="A311">
    <w:name w:val="A311"/>
    <w:basedOn w:val="a3"/>
    <w:next w:val="af"/>
    <w:uiPriority w:val="39"/>
    <w:rsid w:val="007F1877"/>
    <w:rPr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">
    <w:name w:val="標題(一)"/>
    <w:basedOn w:val="a0"/>
    <w:link w:val="af2"/>
    <w:qFormat/>
    <w:rsid w:val="009F435A"/>
    <w:pPr>
      <w:adjustRightInd w:val="0"/>
      <w:spacing w:line="312" w:lineRule="auto"/>
      <w:ind w:left="2" w:firstLineChars="201" w:firstLine="563"/>
    </w:pPr>
  </w:style>
  <w:style w:type="character" w:customStyle="1" w:styleId="af2">
    <w:name w:val="標題(一) 字元"/>
    <w:basedOn w:val="a2"/>
    <w:link w:val="a1"/>
    <w:rsid w:val="009F435A"/>
    <w:rPr>
      <w:rFonts w:ascii="Times New Roman" w:eastAsia="微軟正黑體" w:hAnsi="Times New Roman" w:cs="Times New Roman"/>
      <w:sz w:val="28"/>
      <w:szCs w:val="28"/>
    </w:rPr>
  </w:style>
  <w:style w:type="paragraph" w:styleId="af3">
    <w:name w:val="header"/>
    <w:basedOn w:val="a0"/>
    <w:link w:val="af4"/>
    <w:uiPriority w:val="99"/>
    <w:unhideWhenUsed/>
    <w:rsid w:val="00CA2F5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頁首 字元"/>
    <w:basedOn w:val="a2"/>
    <w:link w:val="af3"/>
    <w:uiPriority w:val="99"/>
    <w:rsid w:val="00CA2F57"/>
    <w:rPr>
      <w:rFonts w:ascii="Times New Roman" w:eastAsia="華康仿宋體W6(P)" w:hAnsi="Times New Roman"/>
      <w:sz w:val="20"/>
      <w:szCs w:val="20"/>
    </w:rPr>
  </w:style>
  <w:style w:type="paragraph" w:styleId="af5">
    <w:name w:val="footer"/>
    <w:basedOn w:val="a0"/>
    <w:link w:val="af6"/>
    <w:uiPriority w:val="99"/>
    <w:unhideWhenUsed/>
    <w:rsid w:val="00CA2F5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6">
    <w:name w:val="頁尾 字元"/>
    <w:basedOn w:val="a2"/>
    <w:link w:val="af5"/>
    <w:uiPriority w:val="99"/>
    <w:rsid w:val="00CA2F57"/>
    <w:rPr>
      <w:rFonts w:ascii="Times New Roman" w:eastAsia="華康仿宋體W6(P)" w:hAnsi="Times New Roman"/>
      <w:sz w:val="20"/>
      <w:szCs w:val="20"/>
    </w:rPr>
  </w:style>
  <w:style w:type="paragraph" w:customStyle="1" w:styleId="af7">
    <w:name w:val="(一)內文"/>
    <w:basedOn w:val="a0"/>
    <w:link w:val="af8"/>
    <w:qFormat/>
    <w:rsid w:val="00BB3F13"/>
    <w:pPr>
      <w:ind w:leftChars="202" w:left="566" w:firstLineChars="202" w:firstLine="566"/>
      <w:jc w:val="left"/>
    </w:pPr>
  </w:style>
  <w:style w:type="character" w:customStyle="1" w:styleId="af8">
    <w:name w:val="(一)內文 字元"/>
    <w:basedOn w:val="a2"/>
    <w:link w:val="af7"/>
    <w:rsid w:val="00BB3F13"/>
    <w:rPr>
      <w:rFonts w:ascii="Times New Roman" w:eastAsia="微軟正黑體" w:hAnsi="Times New Roman" w:cs="Times New Roman"/>
      <w:sz w:val="28"/>
      <w:szCs w:val="28"/>
    </w:rPr>
  </w:style>
  <w:style w:type="paragraph" w:customStyle="1" w:styleId="af9">
    <w:name w:val="(一)的內文"/>
    <w:basedOn w:val="a5"/>
    <w:link w:val="afa"/>
    <w:qFormat/>
    <w:rsid w:val="00B27958"/>
    <w:pPr>
      <w:adjustRightInd w:val="0"/>
      <w:spacing w:before="120" w:after="120"/>
      <w:ind w:left="1120" w:firstLine="560"/>
    </w:pPr>
  </w:style>
  <w:style w:type="character" w:customStyle="1" w:styleId="afa">
    <w:name w:val="(一)的內文 字元"/>
    <w:basedOn w:val="a2"/>
    <w:link w:val="af9"/>
    <w:rsid w:val="00B27958"/>
    <w:rPr>
      <w:rFonts w:ascii="Times New Roman" w:eastAsia="華康仿宋體W6(P)" w:hAnsi="Times New Roman"/>
    </w:rPr>
  </w:style>
  <w:style w:type="character" w:styleId="afb">
    <w:name w:val="Hyperlink"/>
    <w:basedOn w:val="a2"/>
    <w:uiPriority w:val="99"/>
    <w:unhideWhenUsed/>
    <w:rsid w:val="00B27958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29275E"/>
    <w:rPr>
      <w:color w:val="605E5C"/>
      <w:shd w:val="clear" w:color="auto" w:fill="E1DFDD"/>
    </w:rPr>
  </w:style>
  <w:style w:type="table" w:customStyle="1" w:styleId="A31">
    <w:name w:val="A31"/>
    <w:basedOn w:val="a3"/>
    <w:next w:val="af"/>
    <w:uiPriority w:val="39"/>
    <w:rsid w:val="00BB0F17"/>
    <w:rPr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Bullet"/>
    <w:basedOn w:val="a0"/>
    <w:uiPriority w:val="99"/>
    <w:unhideWhenUsed/>
    <w:rsid w:val="00BB0F17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A02A-339B-4A67-B581-D866D039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Lu</dc:creator>
  <cp:keywords/>
  <dc:description/>
  <cp:lastModifiedBy>鄭貴中</cp:lastModifiedBy>
  <cp:revision>2</cp:revision>
  <dcterms:created xsi:type="dcterms:W3CDTF">2025-01-10T00:46:00Z</dcterms:created>
  <dcterms:modified xsi:type="dcterms:W3CDTF">2025-01-10T00:46:00Z</dcterms:modified>
</cp:coreProperties>
</file>