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87AA9" w14:textId="2F9CC357" w:rsidR="005E4A21" w:rsidRDefault="0095642F" w:rsidP="005E4A21">
      <w:pPr>
        <w:spacing w:line="500" w:lineRule="exact"/>
        <w:jc w:val="center"/>
        <w:textDirection w:val="lrTbV"/>
        <w:rPr>
          <w:rFonts w:ascii="標楷體" w:eastAsia="標楷體" w:hAnsi="標楷體"/>
          <w:b/>
          <w:bCs/>
          <w:sz w:val="32"/>
          <w:szCs w:val="32"/>
        </w:rPr>
      </w:pPr>
      <w:r w:rsidRPr="0095642F">
        <w:rPr>
          <w:rFonts w:eastAsia="標楷體" w:hint="eastAsia"/>
          <w:b/>
          <w:sz w:val="32"/>
          <w:szCs w:val="32"/>
        </w:rPr>
        <w:t>嘉義縣</w:t>
      </w:r>
      <w:r w:rsidR="00BF0212">
        <w:rPr>
          <w:rFonts w:eastAsia="標楷體" w:hint="eastAsia"/>
          <w:b/>
          <w:sz w:val="32"/>
          <w:szCs w:val="32"/>
        </w:rPr>
        <w:t>番路鄉民和</w:t>
      </w:r>
      <w:r w:rsidR="00770CC0">
        <w:rPr>
          <w:rFonts w:eastAsia="標楷體" w:hint="eastAsia"/>
          <w:b/>
          <w:sz w:val="32"/>
          <w:szCs w:val="32"/>
        </w:rPr>
        <w:t>國</w:t>
      </w:r>
      <w:r w:rsidRPr="0095642F">
        <w:rPr>
          <w:rFonts w:eastAsia="標楷體" w:hint="eastAsia"/>
          <w:b/>
          <w:sz w:val="32"/>
          <w:szCs w:val="32"/>
        </w:rPr>
        <w:t>民小學</w:t>
      </w:r>
      <w:r w:rsidR="0003290A">
        <w:rPr>
          <w:rFonts w:eastAsia="標楷體" w:hint="eastAsia"/>
          <w:b/>
          <w:sz w:val="32"/>
          <w:szCs w:val="32"/>
        </w:rPr>
        <w:t>1</w:t>
      </w:r>
      <w:r w:rsidR="00BF0212">
        <w:rPr>
          <w:rFonts w:eastAsia="標楷體"/>
          <w:b/>
          <w:sz w:val="32"/>
          <w:szCs w:val="32"/>
        </w:rPr>
        <w:t>13</w:t>
      </w:r>
      <w:r w:rsidR="0003290A">
        <w:rPr>
          <w:rFonts w:eastAsia="標楷體" w:hint="eastAsia"/>
          <w:b/>
          <w:sz w:val="32"/>
          <w:szCs w:val="32"/>
        </w:rPr>
        <w:t>年</w:t>
      </w:r>
      <w:r w:rsidR="0003290A">
        <w:rPr>
          <w:rFonts w:eastAsia="標楷體"/>
          <w:b/>
          <w:sz w:val="32"/>
          <w:szCs w:val="32"/>
        </w:rPr>
        <w:t>度</w:t>
      </w:r>
      <w:r w:rsidR="005E4A21" w:rsidRPr="00B66D86">
        <w:rPr>
          <w:rFonts w:ascii="標楷體" w:eastAsia="標楷體" w:hAnsi="標楷體" w:hint="eastAsia"/>
          <w:b/>
          <w:bCs/>
          <w:sz w:val="32"/>
          <w:szCs w:val="32"/>
        </w:rPr>
        <w:t>設置太陽光電發電設備</w:t>
      </w:r>
      <w:r w:rsidR="005E4A21">
        <w:rPr>
          <w:rFonts w:ascii="標楷體" w:eastAsia="標楷體" w:hAnsi="標楷體" w:hint="eastAsia"/>
          <w:b/>
          <w:bCs/>
          <w:sz w:val="32"/>
          <w:szCs w:val="32"/>
        </w:rPr>
        <w:t>公開標租</w:t>
      </w:r>
    </w:p>
    <w:p w14:paraId="36D69171" w14:textId="77777777" w:rsidR="005E4A21" w:rsidRPr="005E4A21" w:rsidRDefault="005E4A21" w:rsidP="005E4A21">
      <w:pPr>
        <w:spacing w:line="500" w:lineRule="exact"/>
        <w:jc w:val="center"/>
        <w:rPr>
          <w:rFonts w:ascii="標楷體" w:eastAsia="標楷體" w:hAnsi="標楷體" w:cs="Times New Roman"/>
          <w:b/>
          <w:sz w:val="32"/>
          <w:szCs w:val="32"/>
        </w:rPr>
      </w:pPr>
      <w:r w:rsidRPr="005E4A21">
        <w:rPr>
          <w:rFonts w:ascii="標楷體" w:eastAsia="標楷體" w:hAnsi="標楷體" w:cs="Times New Roman"/>
          <w:b/>
          <w:sz w:val="32"/>
          <w:szCs w:val="32"/>
        </w:rPr>
        <w:t>太陽光電發電</w:t>
      </w:r>
      <w:r w:rsidRPr="005E4A21">
        <w:rPr>
          <w:rFonts w:ascii="標楷體" w:eastAsia="標楷體" w:hAnsi="標楷體" w:cs="Times New Roman" w:hint="eastAsia"/>
          <w:b/>
          <w:sz w:val="32"/>
          <w:szCs w:val="32"/>
        </w:rPr>
        <w:t>系統及</w:t>
      </w:r>
      <w:r w:rsidRPr="005E4A21">
        <w:rPr>
          <w:rFonts w:ascii="標楷體" w:eastAsia="標楷體" w:hAnsi="標楷體" w:cs="Times New Roman"/>
          <w:b/>
          <w:sz w:val="32"/>
          <w:szCs w:val="32"/>
        </w:rPr>
        <w:t>設備檢驗表</w:t>
      </w:r>
    </w:p>
    <w:p w14:paraId="6096730A" w14:textId="77777777" w:rsidR="005E4A21" w:rsidRDefault="005E4A21" w:rsidP="005E4A21">
      <w:pPr>
        <w:spacing w:line="500" w:lineRule="exact"/>
        <w:jc w:val="both"/>
        <w:rPr>
          <w:rFonts w:ascii="Times New Roman" w:eastAsia="標楷體" w:hAnsi="Times New Roman" w:cs="Times New Roman"/>
          <w:sz w:val="28"/>
          <w:szCs w:val="28"/>
        </w:rPr>
      </w:pPr>
    </w:p>
    <w:p w14:paraId="06C8426B" w14:textId="77777777" w:rsidR="005E4A21" w:rsidRDefault="005E4A21" w:rsidP="005E4A21">
      <w:pPr>
        <w:spacing w:line="500" w:lineRule="exact"/>
        <w:jc w:val="both"/>
        <w:rPr>
          <w:rFonts w:ascii="Times New Roman" w:eastAsia="標楷體" w:hAnsi="Times New Roman" w:cs="Times New Roman"/>
          <w:sz w:val="28"/>
          <w:szCs w:val="28"/>
        </w:rPr>
      </w:pPr>
    </w:p>
    <w:p w14:paraId="4BA8B90B" w14:textId="77777777" w:rsidR="005E4A21" w:rsidRPr="00A243C7" w:rsidRDefault="005E4A21" w:rsidP="005E4A21">
      <w:pPr>
        <w:spacing w:line="500" w:lineRule="exact"/>
        <w:jc w:val="both"/>
        <w:rPr>
          <w:rFonts w:ascii="Times New Roman" w:eastAsia="標楷體" w:hAnsi="Times New Roman" w:cs="Times New Roman"/>
          <w:sz w:val="28"/>
          <w:szCs w:val="28"/>
        </w:rPr>
      </w:pPr>
      <w:r w:rsidRPr="00A243C7">
        <w:rPr>
          <w:rFonts w:ascii="Times New Roman" w:eastAsia="標楷體" w:hAnsi="Times New Roman" w:cs="Times New Roman"/>
          <w:sz w:val="28"/>
          <w:szCs w:val="28"/>
        </w:rPr>
        <w:t>設置地址：</w:t>
      </w:r>
    </w:p>
    <w:p w14:paraId="22CFC15A" w14:textId="11063E83" w:rsidR="005E4A21" w:rsidRPr="00A243C7" w:rsidRDefault="005E4A21" w:rsidP="005E4A21">
      <w:pPr>
        <w:spacing w:line="500" w:lineRule="exact"/>
        <w:jc w:val="both"/>
        <w:rPr>
          <w:rFonts w:ascii="Times New Roman" w:eastAsia="標楷體" w:hAnsi="Times New Roman" w:cs="Times New Roman"/>
          <w:color w:val="545454"/>
          <w:sz w:val="28"/>
          <w:szCs w:val="28"/>
          <w:shd w:val="clear" w:color="auto" w:fill="FFFFFF"/>
        </w:rPr>
      </w:pPr>
      <w:r w:rsidRPr="00A243C7">
        <w:rPr>
          <w:rFonts w:ascii="Times New Roman" w:eastAsia="標楷體" w:hAnsi="Times New Roman" w:cs="Times New Roman"/>
          <w:sz w:val="28"/>
          <w:szCs w:val="28"/>
        </w:rPr>
        <w:t>設置容量：單一模組裝置容量</w:t>
      </w:r>
      <w:r w:rsidRPr="00A243C7">
        <w:rPr>
          <w:rFonts w:ascii="Times New Roman" w:eastAsia="標楷體" w:hAnsi="Times New Roman" w:cs="Times New Roman"/>
          <w:sz w:val="28"/>
          <w:szCs w:val="28"/>
        </w:rPr>
        <w:t>_____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color w:val="545454"/>
          <w:sz w:val="28"/>
          <w:szCs w:val="28"/>
          <w:shd w:val="clear" w:color="auto" w:fill="FFFFFF"/>
        </w:rPr>
        <w:t>瓩</w:t>
      </w:r>
      <w:r w:rsidRPr="00A243C7">
        <w:rPr>
          <w:rFonts w:ascii="Times New Roman" w:eastAsia="標楷體" w:hAnsi="Times New Roman" w:cs="Times New Roman"/>
          <w:sz w:val="28"/>
          <w:szCs w:val="28"/>
        </w:rPr>
        <w:t>，總裝置容量</w:t>
      </w:r>
      <w:r w:rsidRPr="00A243C7">
        <w:rPr>
          <w:rFonts w:ascii="Times New Roman" w:eastAsia="標楷體" w:hAnsi="Times New Roman" w:cs="Times New Roman"/>
          <w:sz w:val="28"/>
          <w:szCs w:val="28"/>
        </w:rPr>
        <w:t>______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color w:val="545454"/>
          <w:sz w:val="28"/>
          <w:szCs w:val="28"/>
          <w:shd w:val="clear" w:color="auto" w:fill="FFFFFF"/>
        </w:rPr>
        <w:t>瓩</w:t>
      </w:r>
    </w:p>
    <w:p w14:paraId="173951D2" w14:textId="559B75F2" w:rsidR="005E4A21" w:rsidRPr="00A71DA3" w:rsidRDefault="005E4A21" w:rsidP="00A71DA3">
      <w:pPr>
        <w:spacing w:line="500" w:lineRule="exact"/>
        <w:jc w:val="both"/>
        <w:rPr>
          <w:rFonts w:ascii="Times New Roman" w:eastAsia="標楷體" w:hAnsi="Times New Roman" w:cs="Times New Roman"/>
          <w:b/>
          <w:color w:val="000000" w:themeColor="text1"/>
          <w:sz w:val="28"/>
          <w:szCs w:val="28"/>
        </w:rPr>
      </w:pPr>
      <w:r w:rsidRPr="00A243C7">
        <w:rPr>
          <w:rFonts w:ascii="Times New Roman" w:eastAsia="標楷體" w:hAnsi="Times New Roman" w:cs="Times New Roman"/>
          <w:sz w:val="28"/>
          <w:szCs w:val="28"/>
        </w:rPr>
        <w:t>本案業已於中華民國</w:t>
      </w:r>
      <w:r w:rsidRPr="00A243C7">
        <w:rPr>
          <w:rFonts w:ascii="Times New Roman" w:eastAsia="標楷體" w:hAnsi="Times New Roman" w:cs="Times New Roman"/>
          <w:sz w:val="28"/>
          <w:szCs w:val="28"/>
        </w:rPr>
        <w:t>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sz w:val="28"/>
          <w:szCs w:val="28"/>
        </w:rPr>
        <w:t>年</w:t>
      </w:r>
      <w:r w:rsidRPr="00A243C7">
        <w:rPr>
          <w:rFonts w:ascii="Times New Roman" w:eastAsia="標楷體" w:hAnsi="Times New Roman" w:cs="Times New Roman"/>
          <w:sz w:val="28"/>
          <w:szCs w:val="28"/>
        </w:rPr>
        <w:t>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sz w:val="28"/>
          <w:szCs w:val="28"/>
        </w:rPr>
        <w:t>月</w:t>
      </w:r>
      <w:r w:rsidRPr="00A243C7">
        <w:rPr>
          <w:rFonts w:ascii="Times New Roman" w:eastAsia="標楷體" w:hAnsi="Times New Roman" w:cs="Times New Roman"/>
          <w:sz w:val="28"/>
          <w:szCs w:val="28"/>
        </w:rPr>
        <w:t>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sz w:val="28"/>
          <w:szCs w:val="28"/>
        </w:rPr>
        <w:t>日按圖施工完竣，經本</w:t>
      </w:r>
      <w:r w:rsidR="00917B06" w:rsidRPr="00A243C7">
        <w:rPr>
          <w:rFonts w:ascii="Times New Roman" w:eastAsia="標楷體" w:hAnsi="Times New Roman" w:cs="Times New Roman"/>
          <w:sz w:val="28"/>
          <w:szCs w:val="28"/>
        </w:rPr>
        <w:t>________</w:t>
      </w:r>
      <w:r w:rsidRPr="00A243C7">
        <w:rPr>
          <w:rFonts w:ascii="Times New Roman" w:eastAsia="標楷體" w:hAnsi="Times New Roman" w:cs="Times New Roman"/>
          <w:sz w:val="28"/>
          <w:szCs w:val="28"/>
        </w:rPr>
        <w:t>______(</w:t>
      </w:r>
      <w:r w:rsidRPr="00A243C7">
        <w:rPr>
          <w:rFonts w:ascii="Times New Roman" w:eastAsia="標楷體" w:hAnsi="Times New Roman" w:cs="Times New Roman"/>
          <w:sz w:val="28"/>
          <w:szCs w:val="28"/>
        </w:rPr>
        <w:t>建築師、土木技師或結構技師</w:t>
      </w:r>
      <w:r w:rsidRPr="00A243C7">
        <w:rPr>
          <w:rFonts w:ascii="Times New Roman" w:eastAsia="標楷體" w:hAnsi="Times New Roman" w:cs="Times New Roman"/>
          <w:sz w:val="28"/>
          <w:szCs w:val="28"/>
        </w:rPr>
        <w:t>)</w:t>
      </w:r>
      <w:r w:rsidRPr="00A243C7">
        <w:rPr>
          <w:rFonts w:ascii="Times New Roman" w:eastAsia="標楷體" w:hAnsi="Times New Roman" w:cs="Times New Roman"/>
          <w:sz w:val="28"/>
          <w:szCs w:val="28"/>
        </w:rPr>
        <w:t>確認太陽光電發電設備之主結構、隔絕要求、太陽能模組、支撐架結構與組件、材質，符合「</w:t>
      </w:r>
      <w:r w:rsidR="0095642F" w:rsidRPr="0095642F">
        <w:rPr>
          <w:rFonts w:ascii="Times New Roman" w:eastAsia="標楷體" w:hAnsi="Times New Roman" w:cs="Times New Roman" w:hint="eastAsia"/>
          <w:b/>
          <w:color w:val="000000" w:themeColor="text1"/>
          <w:sz w:val="28"/>
          <w:szCs w:val="28"/>
        </w:rPr>
        <w:t>嘉義縣</w:t>
      </w:r>
      <w:r w:rsidR="00BF0212">
        <w:rPr>
          <w:rFonts w:ascii="Times New Roman" w:eastAsia="標楷體" w:hAnsi="Times New Roman" w:cs="Times New Roman" w:hint="eastAsia"/>
          <w:b/>
          <w:color w:val="000000" w:themeColor="text1"/>
          <w:sz w:val="28"/>
          <w:szCs w:val="28"/>
        </w:rPr>
        <w:t>番路鄉民和</w:t>
      </w:r>
      <w:r w:rsidR="00770CC0">
        <w:rPr>
          <w:rFonts w:ascii="Times New Roman" w:eastAsia="標楷體" w:hAnsi="Times New Roman" w:cs="Times New Roman" w:hint="eastAsia"/>
          <w:b/>
          <w:color w:val="000000" w:themeColor="text1"/>
          <w:sz w:val="28"/>
          <w:szCs w:val="28"/>
        </w:rPr>
        <w:t>國</w:t>
      </w:r>
      <w:r w:rsidR="0095642F" w:rsidRPr="0095642F">
        <w:rPr>
          <w:rFonts w:ascii="Times New Roman" w:eastAsia="標楷體" w:hAnsi="Times New Roman" w:cs="Times New Roman" w:hint="eastAsia"/>
          <w:b/>
          <w:color w:val="000000" w:themeColor="text1"/>
          <w:sz w:val="28"/>
          <w:szCs w:val="28"/>
        </w:rPr>
        <w:t>民小學</w:t>
      </w:r>
      <w:r w:rsidR="00A71DA3" w:rsidRPr="00A71DA3">
        <w:rPr>
          <w:rFonts w:ascii="Times New Roman" w:eastAsia="標楷體" w:hAnsi="Times New Roman" w:cs="Times New Roman" w:hint="eastAsia"/>
          <w:b/>
          <w:color w:val="000000" w:themeColor="text1"/>
          <w:sz w:val="28"/>
          <w:szCs w:val="28"/>
        </w:rPr>
        <w:t>設置太陽光電發電設備公開標租租賃契約書</w:t>
      </w:r>
      <w:r w:rsidRPr="00A243C7">
        <w:rPr>
          <w:rFonts w:ascii="Times New Roman" w:eastAsia="標楷體" w:hAnsi="Times New Roman" w:cs="Times New Roman"/>
          <w:sz w:val="28"/>
          <w:szCs w:val="28"/>
        </w:rPr>
        <w:t>」第二條之規定。</w:t>
      </w:r>
    </w:p>
    <w:p w14:paraId="0D049AA4" w14:textId="77777777" w:rsidR="005E4A21" w:rsidRPr="00A243C7" w:rsidRDefault="005E4A21" w:rsidP="005E4A21">
      <w:pPr>
        <w:spacing w:line="500" w:lineRule="exact"/>
        <w:rPr>
          <w:rFonts w:ascii="Times New Roman" w:eastAsia="標楷體" w:hAnsi="Times New Roman" w:cs="Times New Roman"/>
          <w:sz w:val="28"/>
          <w:szCs w:val="28"/>
        </w:rPr>
      </w:pPr>
    </w:p>
    <w:p w14:paraId="04AD45A5" w14:textId="77777777" w:rsidR="005E4A21" w:rsidRPr="00A243C7" w:rsidRDefault="005E4A21" w:rsidP="005E4A21">
      <w:pPr>
        <w:spacing w:line="500" w:lineRule="exact"/>
        <w:rPr>
          <w:rFonts w:ascii="Times New Roman" w:eastAsia="標楷體" w:hAnsi="Times New Roman" w:cs="Times New Roman"/>
          <w:sz w:val="28"/>
          <w:szCs w:val="28"/>
        </w:rPr>
      </w:pPr>
    </w:p>
    <w:p w14:paraId="06558A09" w14:textId="77777777" w:rsidR="005E4A21" w:rsidRPr="00A243C7" w:rsidRDefault="005E4A21" w:rsidP="005E4A21">
      <w:pPr>
        <w:spacing w:line="500" w:lineRule="exact"/>
        <w:rPr>
          <w:rFonts w:ascii="Times New Roman" w:eastAsia="標楷體" w:hAnsi="Times New Roman" w:cs="Times New Roman"/>
          <w:sz w:val="28"/>
          <w:szCs w:val="28"/>
        </w:rPr>
      </w:pPr>
    </w:p>
    <w:p w14:paraId="1A9D2C80" w14:textId="77777777" w:rsidR="005E4A21" w:rsidRPr="00A243C7" w:rsidRDefault="005E4A21" w:rsidP="005E4A21">
      <w:pPr>
        <w:spacing w:line="500" w:lineRule="exact"/>
        <w:rPr>
          <w:rFonts w:ascii="Times New Roman" w:eastAsia="標楷體" w:hAnsi="Times New Roman" w:cs="Times New Roman"/>
          <w:sz w:val="28"/>
          <w:szCs w:val="28"/>
        </w:rPr>
      </w:pPr>
    </w:p>
    <w:p w14:paraId="1AC0EAF1" w14:textId="77777777" w:rsidR="005E4A21" w:rsidRPr="00A243C7" w:rsidRDefault="00A71DA3" w:rsidP="005E4A21">
      <w:pPr>
        <w:spacing w:line="500" w:lineRule="exact"/>
        <w:rPr>
          <w:rFonts w:ascii="Times New Roman" w:eastAsia="標楷體" w:hAnsi="Times New Roman" w:cs="Times New Roman"/>
          <w:sz w:val="28"/>
          <w:szCs w:val="28"/>
        </w:rPr>
      </w:pPr>
      <w:r w:rsidRPr="00A243C7">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3A9C0335" wp14:editId="0E33DF79">
                <wp:simplePos x="0" y="0"/>
                <wp:positionH relativeFrom="column">
                  <wp:posOffset>4198620</wp:posOffset>
                </wp:positionH>
                <wp:positionV relativeFrom="paragraph">
                  <wp:posOffset>92710</wp:posOffset>
                </wp:positionV>
                <wp:extent cx="1208598" cy="1160891"/>
                <wp:effectExtent l="0" t="0" r="10795" b="20320"/>
                <wp:wrapNone/>
                <wp:docPr id="47" name="矩形 47"/>
                <wp:cNvGraphicFramePr/>
                <a:graphic xmlns:a="http://schemas.openxmlformats.org/drawingml/2006/main">
                  <a:graphicData uri="http://schemas.microsoft.com/office/word/2010/wordprocessingShape">
                    <wps:wsp>
                      <wps:cNvSpPr/>
                      <wps:spPr>
                        <a:xfrm>
                          <a:off x="0" y="0"/>
                          <a:ext cx="1208598" cy="116089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D43734" id="矩形 47" o:spid="_x0000_s1026" style="position:absolute;margin-left:330.6pt;margin-top:7.3pt;width:95.1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" filled="f" strokecolor="black [3213]" strokeweight="1pt">
                <v:stroke dashstyle="dash"/>
              </v:rect>
            </w:pict>
          </mc:Fallback>
        </mc:AlternateContent>
      </w:r>
      <w:r w:rsidR="005E4A21" w:rsidRPr="00A243C7">
        <w:rPr>
          <w:rFonts w:ascii="Times New Roman" w:eastAsia="標楷體" w:hAnsi="Times New Roman" w:cs="Times New Roman"/>
          <w:sz w:val="28"/>
          <w:szCs w:val="28"/>
        </w:rPr>
        <w:t>簽名或蓋章：</w:t>
      </w:r>
    </w:p>
    <w:p w14:paraId="7601DB1E" w14:textId="77777777" w:rsidR="005E4A21" w:rsidRPr="00A243C7" w:rsidRDefault="00A71DA3" w:rsidP="005E4A21">
      <w:pPr>
        <w:spacing w:line="500" w:lineRule="exact"/>
        <w:rPr>
          <w:rFonts w:ascii="Times New Roman" w:eastAsia="標楷體" w:hAnsi="Times New Roman" w:cs="Times New Roman"/>
          <w:sz w:val="28"/>
          <w:szCs w:val="28"/>
        </w:rPr>
      </w:pPr>
      <w:r w:rsidRPr="00A243C7">
        <w:rPr>
          <w:rFonts w:ascii="Times New Roman" w:eastAsia="標楷體" w:hAnsi="Times New Roman" w:cs="Times New Roman"/>
          <w:noProof/>
          <w:sz w:val="28"/>
          <w:szCs w:val="28"/>
        </w:rPr>
        <mc:AlternateContent>
          <mc:Choice Requires="wps">
            <w:drawing>
              <wp:anchor distT="0" distB="0" distL="114300" distR="114300" simplePos="0" relativeHeight="251660288" behindDoc="0" locked="0" layoutInCell="1" allowOverlap="1" wp14:anchorId="7710E8EA" wp14:editId="5EC44F8B">
                <wp:simplePos x="0" y="0"/>
                <wp:positionH relativeFrom="column">
                  <wp:posOffset>4343400</wp:posOffset>
                </wp:positionH>
                <wp:positionV relativeFrom="paragraph">
                  <wp:posOffset>6350</wp:posOffset>
                </wp:positionV>
                <wp:extent cx="1097170" cy="326004"/>
                <wp:effectExtent l="0" t="0" r="0" b="0"/>
                <wp:wrapNone/>
                <wp:docPr id="46" name="文字方塊 46"/>
                <wp:cNvGraphicFramePr/>
                <a:graphic xmlns:a="http://schemas.openxmlformats.org/drawingml/2006/main">
                  <a:graphicData uri="http://schemas.microsoft.com/office/word/2010/wordprocessingShape">
                    <wps:wsp>
                      <wps:cNvSpPr txBox="1"/>
                      <wps:spPr>
                        <a:xfrm>
                          <a:off x="0" y="0"/>
                          <a:ext cx="109717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2BA83" w14:textId="77777777" w:rsidR="005E4A21" w:rsidRPr="00122093" w:rsidRDefault="005E4A21" w:rsidP="005E4A21">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10E8EA" id="_x0000_t202" coordsize="21600,21600" o:spt="202" path="m,l,21600r21600,l21600,xe">
                <v:stroke joinstyle="miter"/>
                <v:path gradientshapeok="t" o:connecttype="rect"/>
              </v:shapetype>
              <v:shape id="文字方塊 46" o:spid="_x0000_s1026" type="#_x0000_t202" style="position:absolute;margin-left:342pt;margin-top:.5pt;width:86.4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" filled="f" stroked="f" strokeweight=".5pt">
                <v:textbox>
                  <w:txbxContent>
                    <w:p w14:paraId="3B62BA83" w14:textId="77777777" w:rsidR="005E4A21" w:rsidRPr="00122093" w:rsidRDefault="005E4A21" w:rsidP="005E4A21">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mc:Fallback>
        </mc:AlternateContent>
      </w:r>
      <w:r w:rsidR="005E4A21" w:rsidRPr="00A243C7">
        <w:rPr>
          <w:rFonts w:ascii="Times New Roman" w:eastAsia="標楷體" w:hAnsi="Times New Roman" w:cs="Times New Roman"/>
          <w:sz w:val="28"/>
          <w:szCs w:val="28"/>
        </w:rPr>
        <w:t>開業</w:t>
      </w:r>
      <w:r w:rsidR="005E4A21" w:rsidRPr="00A243C7">
        <w:rPr>
          <w:rFonts w:ascii="Times New Roman" w:eastAsia="標楷體" w:hAnsi="Times New Roman" w:cs="Times New Roman"/>
          <w:sz w:val="28"/>
          <w:szCs w:val="28"/>
        </w:rPr>
        <w:t>/</w:t>
      </w:r>
      <w:r w:rsidR="005E4A21" w:rsidRPr="00A243C7">
        <w:rPr>
          <w:rFonts w:ascii="Times New Roman" w:eastAsia="標楷體" w:hAnsi="Times New Roman" w:cs="Times New Roman"/>
          <w:sz w:val="28"/>
          <w:szCs w:val="28"/>
        </w:rPr>
        <w:t>執業執照號碼：</w:t>
      </w:r>
    </w:p>
    <w:p w14:paraId="403FF73F" w14:textId="77777777" w:rsidR="005E4A21" w:rsidRPr="00A243C7" w:rsidRDefault="005E4A21" w:rsidP="005E4A21">
      <w:pPr>
        <w:spacing w:line="500" w:lineRule="exact"/>
        <w:rPr>
          <w:rFonts w:ascii="Times New Roman" w:eastAsia="標楷體" w:hAnsi="Times New Roman" w:cs="Times New Roman"/>
          <w:sz w:val="28"/>
          <w:szCs w:val="28"/>
        </w:rPr>
      </w:pPr>
      <w:r w:rsidRPr="00A243C7">
        <w:rPr>
          <w:rFonts w:ascii="Times New Roman" w:eastAsia="標楷體" w:hAnsi="Times New Roman" w:cs="Times New Roman"/>
          <w:sz w:val="28"/>
          <w:szCs w:val="28"/>
        </w:rPr>
        <w:t>事務所名稱：</w:t>
      </w:r>
    </w:p>
    <w:p w14:paraId="70FD14B5"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8106861"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68811831"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B8A1087"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AA8E721" w14:textId="77777777" w:rsidR="005E4A21" w:rsidRDefault="005E4A21" w:rsidP="005E4A21">
      <w:pPr>
        <w:spacing w:line="500" w:lineRule="exact"/>
        <w:jc w:val="center"/>
        <w:rPr>
          <w:rFonts w:ascii="Times New Roman" w:eastAsia="標楷體" w:hAnsi="Times New Roman" w:cs="Times New Roman"/>
          <w:sz w:val="28"/>
          <w:szCs w:val="28"/>
        </w:rPr>
      </w:pPr>
    </w:p>
    <w:p w14:paraId="7CB7BFE4"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049850A"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0F81AA2D"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7C6A3625"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11AC1351"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116DD73B" w14:textId="77777777" w:rsidR="005E4A21" w:rsidRPr="00A243C7" w:rsidRDefault="005E4A21" w:rsidP="005E4A21">
      <w:pPr>
        <w:spacing w:line="500" w:lineRule="exact"/>
        <w:jc w:val="center"/>
        <w:rPr>
          <w:rFonts w:ascii="Times New Roman" w:eastAsia="標楷體" w:hAnsi="Times New Roman" w:cs="Times New Roman"/>
          <w:sz w:val="28"/>
          <w:szCs w:val="28"/>
        </w:rPr>
      </w:pPr>
      <w:r w:rsidRPr="00A243C7">
        <w:rPr>
          <w:rFonts w:ascii="Times New Roman" w:eastAsia="標楷體" w:hAnsi="Times New Roman" w:cs="Times New Roman"/>
          <w:sz w:val="28"/>
          <w:szCs w:val="28"/>
        </w:rPr>
        <w:t>中華民國</w:t>
      </w:r>
      <w:r w:rsidRPr="00A243C7">
        <w:rPr>
          <w:rFonts w:ascii="Times New Roman" w:eastAsia="標楷體" w:hAnsi="Times New Roman" w:cs="Times New Roman"/>
          <w:sz w:val="28"/>
          <w:szCs w:val="28"/>
        </w:rPr>
        <w:t xml:space="preserve">              </w:t>
      </w:r>
      <w:r w:rsidRPr="00A243C7">
        <w:rPr>
          <w:rFonts w:ascii="Times New Roman" w:eastAsia="標楷體" w:hAnsi="Times New Roman" w:cs="Times New Roman"/>
          <w:sz w:val="28"/>
          <w:szCs w:val="28"/>
        </w:rPr>
        <w:t>年</w:t>
      </w:r>
      <w:r w:rsidRPr="00A243C7">
        <w:rPr>
          <w:rFonts w:ascii="Times New Roman" w:eastAsia="標楷體" w:hAnsi="Times New Roman" w:cs="Times New Roman"/>
          <w:sz w:val="28"/>
          <w:szCs w:val="28"/>
        </w:rPr>
        <w:t xml:space="preserve">                </w:t>
      </w:r>
      <w:r w:rsidRPr="00A243C7">
        <w:rPr>
          <w:rFonts w:ascii="Times New Roman" w:eastAsia="標楷體" w:hAnsi="Times New Roman" w:cs="Times New Roman"/>
          <w:sz w:val="28"/>
          <w:szCs w:val="28"/>
        </w:rPr>
        <w:t>月</w:t>
      </w:r>
      <w:r w:rsidRPr="00A243C7">
        <w:rPr>
          <w:rFonts w:ascii="Times New Roman" w:eastAsia="標楷體" w:hAnsi="Times New Roman" w:cs="Times New Roman"/>
          <w:sz w:val="28"/>
          <w:szCs w:val="28"/>
        </w:rPr>
        <w:t xml:space="preserve">               </w:t>
      </w:r>
      <w:r w:rsidRPr="00A243C7">
        <w:rPr>
          <w:rFonts w:ascii="Times New Roman" w:eastAsia="標楷體" w:hAnsi="Times New Roman" w:cs="Times New Roman"/>
          <w:sz w:val="28"/>
          <w:szCs w:val="28"/>
        </w:rPr>
        <w:t>日</w:t>
      </w:r>
    </w:p>
    <w:p w14:paraId="3DE6ACE1" w14:textId="77777777" w:rsidR="005E4A21" w:rsidRDefault="005E4A21" w:rsidP="005E4A21">
      <w:pPr>
        <w:spacing w:line="500" w:lineRule="exact"/>
        <w:rPr>
          <w:rFonts w:ascii="Times New Roman" w:eastAsia="標楷體" w:hAnsi="Times New Roman" w:cs="Times New Roman"/>
          <w:b/>
          <w:color w:val="000000" w:themeColor="text1"/>
          <w:sz w:val="28"/>
          <w:szCs w:val="28"/>
        </w:rPr>
      </w:pPr>
      <w:bookmarkStart w:id="0" w:name="_Toc4666256"/>
    </w:p>
    <w:bookmarkEnd w:id="0"/>
    <w:p w14:paraId="5583014A" w14:textId="1E4BBDCB" w:rsidR="005E4A21" w:rsidRPr="000B2AA6" w:rsidRDefault="0095642F" w:rsidP="005E4A21">
      <w:pPr>
        <w:spacing w:line="500" w:lineRule="exact"/>
        <w:jc w:val="center"/>
        <w:rPr>
          <w:rFonts w:ascii="Times New Roman" w:eastAsia="標楷體" w:hAnsi="Times New Roman" w:cs="Times New Roman"/>
          <w:b/>
          <w:sz w:val="32"/>
          <w:szCs w:val="32"/>
        </w:rPr>
      </w:pPr>
      <w:r w:rsidRPr="0095642F">
        <w:rPr>
          <w:rFonts w:ascii="Times New Roman" w:eastAsia="標楷體" w:hAnsi="Times New Roman" w:cs="Times New Roman" w:hint="eastAsia"/>
          <w:b/>
          <w:color w:val="000000" w:themeColor="text1"/>
          <w:sz w:val="32"/>
          <w:szCs w:val="32"/>
        </w:rPr>
        <w:lastRenderedPageBreak/>
        <w:t>嘉義縣</w:t>
      </w:r>
      <w:r w:rsidR="00BF0212">
        <w:rPr>
          <w:rFonts w:ascii="Times New Roman" w:eastAsia="標楷體" w:hAnsi="Times New Roman" w:cs="Times New Roman" w:hint="eastAsia"/>
          <w:b/>
          <w:color w:val="000000" w:themeColor="text1"/>
          <w:sz w:val="32"/>
          <w:szCs w:val="32"/>
        </w:rPr>
        <w:t>番路鄉民和</w:t>
      </w:r>
      <w:bookmarkStart w:id="1" w:name="_GoBack"/>
      <w:bookmarkEnd w:id="1"/>
      <w:r w:rsidR="00770CC0">
        <w:rPr>
          <w:rFonts w:ascii="Times New Roman" w:eastAsia="標楷體" w:hAnsi="Times New Roman" w:cs="Times New Roman" w:hint="eastAsia"/>
          <w:b/>
          <w:color w:val="000000" w:themeColor="text1"/>
          <w:sz w:val="32"/>
          <w:szCs w:val="32"/>
        </w:rPr>
        <w:t>國</w:t>
      </w:r>
      <w:r w:rsidRPr="0095642F">
        <w:rPr>
          <w:rFonts w:ascii="Times New Roman" w:eastAsia="標楷體" w:hAnsi="Times New Roman" w:cs="Times New Roman" w:hint="eastAsia"/>
          <w:b/>
          <w:color w:val="000000" w:themeColor="text1"/>
          <w:sz w:val="32"/>
          <w:szCs w:val="32"/>
        </w:rPr>
        <w:t>民小學</w:t>
      </w:r>
      <w:r w:rsidR="005E4A21" w:rsidRPr="000B2AA6">
        <w:rPr>
          <w:rFonts w:ascii="Times New Roman" w:eastAsia="標楷體" w:hAnsi="Times New Roman" w:cs="Times New Roman"/>
          <w:b/>
          <w:sz w:val="32"/>
          <w:szCs w:val="32"/>
        </w:rPr>
        <w:t>設置</w:t>
      </w:r>
      <w:r w:rsidR="00A71DA3" w:rsidRPr="000B2AA6">
        <w:rPr>
          <w:rFonts w:ascii="標楷體" w:eastAsia="標楷體" w:hAnsi="標楷體" w:hint="eastAsia"/>
          <w:b/>
          <w:bCs/>
          <w:sz w:val="32"/>
          <w:szCs w:val="32"/>
        </w:rPr>
        <w:t>太陽光電發電設備</w:t>
      </w:r>
      <w:r w:rsidR="005E4A21" w:rsidRPr="000B2AA6">
        <w:rPr>
          <w:rFonts w:ascii="Times New Roman" w:eastAsia="標楷體" w:hAnsi="Times New Roman" w:cs="Times New Roman"/>
          <w:b/>
          <w:sz w:val="32"/>
          <w:szCs w:val="32"/>
        </w:rPr>
        <w:t>檢驗項目</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22"/>
        <w:gridCol w:w="7516"/>
        <w:gridCol w:w="1324"/>
        <w:gridCol w:w="709"/>
      </w:tblGrid>
      <w:tr w:rsidR="005E4A21" w:rsidRPr="00A243C7" w14:paraId="36D62F29" w14:textId="77777777" w:rsidTr="00012FF1">
        <w:trPr>
          <w:trHeight w:val="210"/>
        </w:trPr>
        <w:tc>
          <w:tcPr>
            <w:tcW w:w="0" w:type="auto"/>
            <w:vAlign w:val="center"/>
          </w:tcPr>
          <w:p w14:paraId="1DD54DA6" w14:textId="77777777" w:rsidR="005E4A21" w:rsidRPr="00173C37" w:rsidRDefault="005E4A21" w:rsidP="00167AC5">
            <w:pPr>
              <w:spacing w:line="400" w:lineRule="exact"/>
              <w:jc w:val="center"/>
              <w:rPr>
                <w:rFonts w:ascii="Times New Roman" w:eastAsia="標楷體" w:hAnsi="Times New Roman" w:cs="Times New Roman"/>
                <w:sz w:val="26"/>
                <w:szCs w:val="26"/>
              </w:rPr>
            </w:pPr>
            <w:bookmarkStart w:id="2" w:name="_Hlk17280654"/>
            <w:r w:rsidRPr="00173C37">
              <w:rPr>
                <w:rFonts w:ascii="Times New Roman" w:eastAsia="標楷體" w:hAnsi="Times New Roman" w:cs="Times New Roman"/>
                <w:sz w:val="26"/>
                <w:szCs w:val="26"/>
              </w:rPr>
              <w:t>類別</w:t>
            </w:r>
          </w:p>
        </w:tc>
        <w:tc>
          <w:tcPr>
            <w:tcW w:w="0" w:type="auto"/>
            <w:vAlign w:val="center"/>
          </w:tcPr>
          <w:p w14:paraId="1B10A403"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項次</w:t>
            </w:r>
          </w:p>
        </w:tc>
        <w:tc>
          <w:tcPr>
            <w:tcW w:w="0" w:type="auto"/>
            <w:vAlign w:val="center"/>
          </w:tcPr>
          <w:p w14:paraId="6870BE3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項目</w:t>
            </w:r>
          </w:p>
        </w:tc>
        <w:tc>
          <w:tcPr>
            <w:tcW w:w="1324" w:type="dxa"/>
            <w:vAlign w:val="center"/>
          </w:tcPr>
          <w:p w14:paraId="483EF803" w14:textId="77777777" w:rsidR="005E4A21" w:rsidRPr="00173C37" w:rsidRDefault="005E4A21"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檢查</w:t>
            </w:r>
          </w:p>
          <w:p w14:paraId="32BD5A5D" w14:textId="77777777" w:rsidR="005E4A21" w:rsidRPr="00173C37" w:rsidRDefault="005E4A21"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結果</w:t>
            </w:r>
          </w:p>
        </w:tc>
        <w:tc>
          <w:tcPr>
            <w:tcW w:w="709" w:type="dxa"/>
          </w:tcPr>
          <w:p w14:paraId="2540825F"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備註</w:t>
            </w:r>
          </w:p>
        </w:tc>
      </w:tr>
      <w:tr w:rsidR="005E4A21" w:rsidRPr="00A243C7" w14:paraId="327C9E0F" w14:textId="77777777" w:rsidTr="00012FF1">
        <w:trPr>
          <w:trHeight w:val="302"/>
        </w:trPr>
        <w:tc>
          <w:tcPr>
            <w:tcW w:w="0" w:type="auto"/>
            <w:vMerge w:val="restart"/>
            <w:vAlign w:val="center"/>
          </w:tcPr>
          <w:p w14:paraId="51DBF7A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半戶外</w:t>
            </w:r>
            <w:r w:rsidRPr="00173C37">
              <w:rPr>
                <w:rFonts w:ascii="Times New Roman" w:eastAsia="標楷體" w:hAnsi="Times New Roman" w:cs="Times New Roman"/>
                <w:sz w:val="26"/>
                <w:szCs w:val="26"/>
              </w:rPr>
              <w:t>球場</w:t>
            </w:r>
            <w:r w:rsidRPr="00173C37">
              <w:rPr>
                <w:rFonts w:ascii="Times New Roman" w:eastAsia="標楷體" w:hAnsi="Times New Roman" w:cs="Times New Roman" w:hint="eastAsia"/>
                <w:sz w:val="26"/>
                <w:szCs w:val="26"/>
              </w:rPr>
              <w:t>設計與隔絕要求</w:t>
            </w:r>
          </w:p>
        </w:tc>
        <w:tc>
          <w:tcPr>
            <w:tcW w:w="0" w:type="auto"/>
            <w:vAlign w:val="center"/>
          </w:tcPr>
          <w:p w14:paraId="7EB8D7F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1</w:t>
            </w:r>
          </w:p>
        </w:tc>
        <w:tc>
          <w:tcPr>
            <w:tcW w:w="0" w:type="auto"/>
            <w:vAlign w:val="center"/>
          </w:tcPr>
          <w:p w14:paraId="14425389"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設置太陽能光電風雨球場，結構柱高起算點為屋頂下緣起算</w:t>
            </w:r>
            <w:r w:rsidRPr="00173C37">
              <w:rPr>
                <w:rFonts w:ascii="Times New Roman" w:eastAsia="標楷體" w:hAnsi="Times New Roman" w:cs="Times New Roman" w:hint="eastAsia"/>
                <w:sz w:val="26"/>
                <w:szCs w:val="26"/>
              </w:rPr>
              <w:t>7</w:t>
            </w:r>
            <w:r w:rsidRPr="00173C37">
              <w:rPr>
                <w:rFonts w:ascii="Times New Roman" w:eastAsia="標楷體" w:hAnsi="Times New Roman" w:cs="Times New Roman" w:hint="eastAsia"/>
                <w:sz w:val="26"/>
                <w:szCs w:val="26"/>
              </w:rPr>
              <w:t>公尺，且太陽能光電發電系統須完整覆蓋整個施作標的球場。</w:t>
            </w:r>
          </w:p>
        </w:tc>
        <w:tc>
          <w:tcPr>
            <w:tcW w:w="1324" w:type="dxa"/>
            <w:vAlign w:val="center"/>
          </w:tcPr>
          <w:p w14:paraId="4F8B6DC9" w14:textId="77777777" w:rsidR="005E4A21" w:rsidRPr="00173C37" w:rsidRDefault="005E4A21"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00A709C5" w:rsidRPr="00173C37">
              <w:rPr>
                <w:rFonts w:ascii="標楷體" w:eastAsia="標楷體" w:hAnsi="標楷體" w:cs="Times New Roman" w:hint="eastAsia"/>
                <w:color w:val="000000" w:themeColor="text1"/>
                <w:sz w:val="26"/>
                <w:szCs w:val="26"/>
              </w:rPr>
              <w:t>□</w:t>
            </w:r>
          </w:p>
          <w:p w14:paraId="32FF88A5" w14:textId="77777777" w:rsidR="005E4A21" w:rsidRPr="00173C37" w:rsidRDefault="005E4A21"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00A709C5" w:rsidRPr="00173C37">
              <w:rPr>
                <w:rFonts w:ascii="標楷體" w:eastAsia="標楷體" w:hAnsi="標楷體" w:cs="Times New Roman" w:hint="eastAsia"/>
                <w:color w:val="000000" w:themeColor="text1"/>
                <w:sz w:val="26"/>
                <w:szCs w:val="26"/>
              </w:rPr>
              <w:t>□</w:t>
            </w:r>
          </w:p>
        </w:tc>
        <w:tc>
          <w:tcPr>
            <w:tcW w:w="709" w:type="dxa"/>
          </w:tcPr>
          <w:p w14:paraId="1029E681"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1AE8C268" w14:textId="77777777" w:rsidTr="00012FF1">
        <w:trPr>
          <w:trHeight w:val="302"/>
        </w:trPr>
        <w:tc>
          <w:tcPr>
            <w:tcW w:w="0" w:type="auto"/>
            <w:vMerge/>
            <w:vAlign w:val="center"/>
          </w:tcPr>
          <w:p w14:paraId="71C86BF4"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30E26CE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7979682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為考量屋頂洩水及太陽能光電板日照角度，建議屋頂設置斜率</w:t>
            </w:r>
            <w:r w:rsidRPr="00173C37">
              <w:rPr>
                <w:rFonts w:ascii="Times New Roman" w:eastAsia="標楷體" w:hAnsi="Times New Roman" w:cs="Times New Roman" w:hint="eastAsia"/>
                <w:sz w:val="26"/>
                <w:szCs w:val="26"/>
              </w:rPr>
              <w:t>6~8</w:t>
            </w:r>
            <w:r w:rsidRPr="00173C37">
              <w:rPr>
                <w:rFonts w:ascii="Times New Roman" w:eastAsia="標楷體" w:hAnsi="Times New Roman" w:cs="Times New Roman" w:hint="eastAsia"/>
                <w:sz w:val="26"/>
                <w:szCs w:val="26"/>
              </w:rPr>
              <w:t>度範圍內為佳。</w:t>
            </w:r>
          </w:p>
        </w:tc>
        <w:tc>
          <w:tcPr>
            <w:tcW w:w="1324" w:type="dxa"/>
            <w:vAlign w:val="center"/>
          </w:tcPr>
          <w:p w14:paraId="419EB3BB"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0061F311"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48B67664"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62F38659" w14:textId="77777777" w:rsidTr="00012FF1">
        <w:trPr>
          <w:trHeight w:val="265"/>
        </w:trPr>
        <w:tc>
          <w:tcPr>
            <w:tcW w:w="0" w:type="auto"/>
            <w:vMerge/>
            <w:vAlign w:val="center"/>
          </w:tcPr>
          <w:p w14:paraId="6E76DD1B"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610D4007"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545E4A0C"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裝設天花隔離網，預防球直接接觸太陽能板。</w:t>
            </w:r>
          </w:p>
        </w:tc>
        <w:tc>
          <w:tcPr>
            <w:tcW w:w="1324" w:type="dxa"/>
            <w:vAlign w:val="center"/>
          </w:tcPr>
          <w:p w14:paraId="404B91B7"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2E21EDC7"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6ABAC0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33AD7847" w14:textId="77777777" w:rsidTr="00012FF1">
        <w:trPr>
          <w:trHeight w:val="266"/>
        </w:trPr>
        <w:tc>
          <w:tcPr>
            <w:tcW w:w="0" w:type="auto"/>
            <w:vMerge/>
          </w:tcPr>
          <w:p w14:paraId="3375DD33"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4BB3B156"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4</w:t>
            </w:r>
          </w:p>
        </w:tc>
        <w:tc>
          <w:tcPr>
            <w:tcW w:w="0" w:type="auto"/>
            <w:vAlign w:val="center"/>
          </w:tcPr>
          <w:p w14:paraId="47A718D8"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每個球場結構支柱需包覆由地面起算，高度達</w:t>
            </w:r>
            <w:r w:rsidRPr="00173C37">
              <w:rPr>
                <w:rFonts w:ascii="Times New Roman" w:eastAsia="標楷體" w:hAnsi="Times New Roman" w:cs="Times New Roman" w:hint="eastAsia"/>
                <w:sz w:val="26"/>
                <w:szCs w:val="26"/>
              </w:rPr>
              <w:t>2</w:t>
            </w:r>
            <w:r w:rsidRPr="00173C37">
              <w:rPr>
                <w:rFonts w:ascii="Times New Roman" w:eastAsia="標楷體" w:hAnsi="Times New Roman" w:cs="Times New Roman" w:hint="eastAsia"/>
                <w:sz w:val="26"/>
                <w:szCs w:val="26"/>
              </w:rPr>
              <w:t>公尺防護墊（材質：</w:t>
            </w:r>
            <w:r w:rsidRPr="00173C37">
              <w:rPr>
                <w:rFonts w:ascii="Times New Roman" w:eastAsia="標楷體" w:hAnsi="Times New Roman" w:cs="Times New Roman" w:hint="eastAsia"/>
                <w:sz w:val="26"/>
                <w:szCs w:val="26"/>
              </w:rPr>
              <w:t>EVA</w:t>
            </w:r>
            <w:r w:rsidRPr="00173C37">
              <w:rPr>
                <w:rFonts w:ascii="Times New Roman" w:eastAsia="標楷體" w:hAnsi="Times New Roman" w:cs="Times New Roman" w:hint="eastAsia"/>
                <w:sz w:val="26"/>
                <w:szCs w:val="26"/>
              </w:rPr>
              <w:t>、厚度：</w:t>
            </w:r>
            <w:r w:rsidRPr="00173C37">
              <w:rPr>
                <w:rFonts w:ascii="Times New Roman" w:eastAsia="標楷體" w:hAnsi="Times New Roman" w:cs="Times New Roman" w:hint="eastAsia"/>
                <w:sz w:val="26"/>
                <w:szCs w:val="26"/>
              </w:rPr>
              <w:t>30mm</w:t>
            </w:r>
            <w:r w:rsidRPr="00173C37">
              <w:rPr>
                <w:rFonts w:ascii="Times New Roman" w:eastAsia="標楷體" w:hAnsi="Times New Roman" w:cs="Times New Roman" w:hint="eastAsia"/>
                <w:sz w:val="26"/>
                <w:szCs w:val="26"/>
              </w:rPr>
              <w:t>）。</w:t>
            </w:r>
          </w:p>
        </w:tc>
        <w:tc>
          <w:tcPr>
            <w:tcW w:w="1324" w:type="dxa"/>
            <w:vAlign w:val="center"/>
          </w:tcPr>
          <w:p w14:paraId="7070DFD2"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54774D3" w14:textId="77777777" w:rsidR="005E4A21" w:rsidRPr="00173C37" w:rsidRDefault="00A709C5" w:rsidP="00012FF1">
            <w:pPr>
              <w:overflowPunct w:val="0"/>
              <w:spacing w:line="400" w:lineRule="exact"/>
              <w:contextualSpacing w:val="0"/>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11598E1C"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p>
        </w:tc>
      </w:tr>
      <w:tr w:rsidR="005E4A21" w:rsidRPr="00A243C7" w14:paraId="341EFA44" w14:textId="77777777" w:rsidTr="00012FF1">
        <w:trPr>
          <w:trHeight w:val="266"/>
        </w:trPr>
        <w:tc>
          <w:tcPr>
            <w:tcW w:w="0" w:type="auto"/>
            <w:vMerge/>
          </w:tcPr>
          <w:p w14:paraId="20EC06CC"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19CD9322"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5</w:t>
            </w:r>
          </w:p>
        </w:tc>
        <w:tc>
          <w:tcPr>
            <w:tcW w:w="0" w:type="auto"/>
            <w:vAlign w:val="center"/>
          </w:tcPr>
          <w:p w14:paraId="7E923CB7"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重要機電位置加裝隔離圍欄，並設置危險告示。</w:t>
            </w:r>
          </w:p>
        </w:tc>
        <w:tc>
          <w:tcPr>
            <w:tcW w:w="1324" w:type="dxa"/>
            <w:vAlign w:val="center"/>
          </w:tcPr>
          <w:p w14:paraId="4B302F9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129F930C" w14:textId="77777777" w:rsidR="005E4A21" w:rsidRPr="00173C37" w:rsidRDefault="00A709C5" w:rsidP="00012FF1">
            <w:pPr>
              <w:overflowPunct w:val="0"/>
              <w:spacing w:line="400" w:lineRule="exact"/>
              <w:contextualSpacing w:val="0"/>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ED8F440"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p>
        </w:tc>
      </w:tr>
      <w:tr w:rsidR="005E4A21" w:rsidRPr="00A243C7" w14:paraId="68D998B6" w14:textId="77777777" w:rsidTr="00012FF1">
        <w:trPr>
          <w:trHeight w:val="454"/>
        </w:trPr>
        <w:tc>
          <w:tcPr>
            <w:tcW w:w="0" w:type="auto"/>
            <w:vMerge/>
          </w:tcPr>
          <w:p w14:paraId="2373D354"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2D7F0214"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4</w:t>
            </w:r>
          </w:p>
        </w:tc>
        <w:tc>
          <w:tcPr>
            <w:tcW w:w="0" w:type="auto"/>
            <w:vAlign w:val="center"/>
          </w:tcPr>
          <w:p w14:paraId="7C7F7475"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加裝設漏電斷路器，且需符合「用戶用電設備裝置規則」、「電工法規」等相關規定，並於施工完成後確認漏電斷路器使用功能正常。</w:t>
            </w:r>
          </w:p>
        </w:tc>
        <w:tc>
          <w:tcPr>
            <w:tcW w:w="1324" w:type="dxa"/>
            <w:vAlign w:val="center"/>
          </w:tcPr>
          <w:p w14:paraId="40A39960"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5F3FCEDD" w14:textId="77777777" w:rsidR="005E4A21" w:rsidRPr="00173C37" w:rsidRDefault="00A709C5" w:rsidP="00012FF1">
            <w:pPr>
              <w:overflowPunct w:val="0"/>
              <w:spacing w:line="400" w:lineRule="exact"/>
              <w:contextualSpacing w:val="0"/>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DEFF011"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p>
        </w:tc>
      </w:tr>
      <w:tr w:rsidR="005E4A21" w:rsidRPr="00A243C7" w14:paraId="53E9E055" w14:textId="77777777" w:rsidTr="00012FF1">
        <w:trPr>
          <w:trHeight w:val="454"/>
        </w:trPr>
        <w:tc>
          <w:tcPr>
            <w:tcW w:w="0" w:type="auto"/>
            <w:vMerge/>
          </w:tcPr>
          <w:p w14:paraId="7EC46477"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4F4F2E14"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5</w:t>
            </w:r>
          </w:p>
        </w:tc>
        <w:tc>
          <w:tcPr>
            <w:tcW w:w="0" w:type="auto"/>
            <w:vAlign w:val="center"/>
          </w:tcPr>
          <w:p w14:paraId="2BA7910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相關</w:t>
            </w:r>
            <w:r w:rsidRPr="00173C37">
              <w:rPr>
                <w:rFonts w:ascii="Times New Roman" w:eastAsia="標楷體" w:hAnsi="Times New Roman" w:cs="Times New Roman"/>
                <w:kern w:val="2"/>
                <w:sz w:val="26"/>
                <w:szCs w:val="26"/>
              </w:rPr>
              <w:t>線路</w:t>
            </w:r>
            <w:r w:rsidRPr="00173C37">
              <w:rPr>
                <w:rFonts w:ascii="Times New Roman" w:eastAsia="標楷體" w:hAnsi="Times New Roman" w:cs="Times New Roman"/>
                <w:sz w:val="26"/>
                <w:szCs w:val="26"/>
              </w:rPr>
              <w:t>接地標準應依「電工法規」或「用戶用電設備裝置規則」等規範施作</w:t>
            </w:r>
            <w:r w:rsidRPr="00173C37">
              <w:rPr>
                <w:rFonts w:ascii="Times New Roman" w:eastAsia="標楷體" w:hAnsi="Times New Roman" w:cs="Times New Roman"/>
                <w:kern w:val="2"/>
                <w:sz w:val="26"/>
                <w:szCs w:val="26"/>
              </w:rPr>
              <w:t>。</w:t>
            </w:r>
          </w:p>
        </w:tc>
        <w:tc>
          <w:tcPr>
            <w:tcW w:w="1324" w:type="dxa"/>
            <w:vAlign w:val="center"/>
          </w:tcPr>
          <w:p w14:paraId="56748D1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5056993B"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541446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D3F35E7" w14:textId="77777777" w:rsidTr="00012FF1">
        <w:trPr>
          <w:trHeight w:val="454"/>
        </w:trPr>
        <w:tc>
          <w:tcPr>
            <w:tcW w:w="0" w:type="auto"/>
            <w:vMerge/>
          </w:tcPr>
          <w:p w14:paraId="4E501091"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709875E5"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6</w:t>
            </w:r>
          </w:p>
        </w:tc>
        <w:tc>
          <w:tcPr>
            <w:tcW w:w="0" w:type="auto"/>
            <w:vAlign w:val="center"/>
          </w:tcPr>
          <w:p w14:paraId="23EFCFA0"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為避免場地濕滑，整體設計應達到防漏水。惟雨天是否可教學、提供民眾使用需視當天狀況而定。</w:t>
            </w:r>
          </w:p>
        </w:tc>
        <w:tc>
          <w:tcPr>
            <w:tcW w:w="1324" w:type="dxa"/>
            <w:vAlign w:val="center"/>
          </w:tcPr>
          <w:p w14:paraId="41FCE34C"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1DA8C0F7" w14:textId="77777777" w:rsidR="005E4A21"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DFF7BD9"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012FF1" w:rsidRPr="00A243C7" w14:paraId="6B0DFC82" w14:textId="77777777" w:rsidTr="00680E67">
        <w:trPr>
          <w:trHeight w:val="454"/>
        </w:trPr>
        <w:tc>
          <w:tcPr>
            <w:tcW w:w="0" w:type="auto"/>
            <w:vAlign w:val="center"/>
          </w:tcPr>
          <w:p w14:paraId="7D03EBB4" w14:textId="77777777" w:rsidR="00012FF1" w:rsidRPr="00173C37" w:rsidRDefault="00012FF1" w:rsidP="00680E67">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遊</w:t>
            </w:r>
            <w:r>
              <w:rPr>
                <w:rFonts w:ascii="Times New Roman" w:eastAsia="標楷體" w:hAnsi="Times New Roman" w:cs="Times New Roman"/>
                <w:sz w:val="26"/>
                <w:szCs w:val="26"/>
              </w:rPr>
              <w:t>戲</w:t>
            </w:r>
            <w:r>
              <w:rPr>
                <w:rFonts w:ascii="Times New Roman" w:eastAsia="標楷體" w:hAnsi="Times New Roman" w:cs="Times New Roman" w:hint="eastAsia"/>
                <w:sz w:val="26"/>
                <w:szCs w:val="26"/>
              </w:rPr>
              <w:t>場</w:t>
            </w:r>
            <w:r>
              <w:rPr>
                <w:rFonts w:ascii="Times New Roman" w:eastAsia="標楷體" w:hAnsi="Times New Roman" w:cs="Times New Roman"/>
                <w:sz w:val="26"/>
                <w:szCs w:val="26"/>
              </w:rPr>
              <w:t>頂蓋設計要求</w:t>
            </w:r>
          </w:p>
        </w:tc>
        <w:tc>
          <w:tcPr>
            <w:tcW w:w="0" w:type="auto"/>
            <w:vAlign w:val="center"/>
          </w:tcPr>
          <w:p w14:paraId="1A766449" w14:textId="77777777" w:rsidR="00012FF1" w:rsidRPr="00173C37" w:rsidRDefault="00012FF1" w:rsidP="00167AC5">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p>
        </w:tc>
        <w:tc>
          <w:tcPr>
            <w:tcW w:w="0" w:type="auto"/>
            <w:vAlign w:val="center"/>
          </w:tcPr>
          <w:p w14:paraId="4AF1FCCA" w14:textId="77777777" w:rsidR="00012FF1" w:rsidRDefault="00012FF1" w:rsidP="00167AC5">
            <w:pPr>
              <w:spacing w:line="400" w:lineRule="exact"/>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須</w:t>
            </w:r>
            <w:r>
              <w:rPr>
                <w:rFonts w:ascii="Times New Roman" w:eastAsia="標楷體" w:hAnsi="Times New Roman" w:cs="Times New Roman"/>
                <w:sz w:val="26"/>
                <w:szCs w:val="26"/>
              </w:rPr>
              <w:t>符合</w:t>
            </w:r>
            <w:r>
              <w:rPr>
                <w:rFonts w:ascii="Times New Roman" w:eastAsia="標楷體" w:hAnsi="Times New Roman" w:cs="Times New Roman" w:hint="eastAsia"/>
                <w:sz w:val="26"/>
                <w:szCs w:val="26"/>
              </w:rPr>
              <w:t>中華民</w:t>
            </w:r>
            <w:r>
              <w:rPr>
                <w:rFonts w:ascii="Times New Roman" w:eastAsia="標楷體" w:hAnsi="Times New Roman" w:cs="Times New Roman"/>
                <w:sz w:val="26"/>
                <w:szCs w:val="26"/>
              </w:rPr>
              <w:t>國</w:t>
            </w:r>
            <w:r>
              <w:rPr>
                <w:rFonts w:ascii="Times New Roman" w:eastAsia="標楷體" w:hAnsi="Times New Roman" w:cs="Times New Roman" w:hint="eastAsia"/>
                <w:sz w:val="26"/>
                <w:szCs w:val="26"/>
              </w:rPr>
              <w:t>國</w:t>
            </w:r>
            <w:r>
              <w:rPr>
                <w:rFonts w:ascii="Times New Roman" w:eastAsia="標楷體" w:hAnsi="Times New Roman" w:cs="Times New Roman"/>
                <w:sz w:val="26"/>
                <w:szCs w:val="26"/>
              </w:rPr>
              <w:t>家標準</w:t>
            </w:r>
            <w:r>
              <w:rPr>
                <w:rFonts w:ascii="Times New Roman" w:eastAsia="標楷體" w:hAnsi="Times New Roman" w:cs="Times New Roman" w:hint="eastAsia"/>
                <w:sz w:val="26"/>
                <w:szCs w:val="26"/>
              </w:rPr>
              <w:t>公</w:t>
            </w:r>
            <w:r>
              <w:rPr>
                <w:rFonts w:ascii="Times New Roman" w:eastAsia="標楷體" w:hAnsi="Times New Roman" w:cs="Times New Roman"/>
                <w:sz w:val="26"/>
                <w:szCs w:val="26"/>
              </w:rPr>
              <w:t>共兒童遊</w:t>
            </w:r>
            <w:r>
              <w:rPr>
                <w:rFonts w:ascii="Times New Roman" w:eastAsia="標楷體" w:hAnsi="Times New Roman" w:cs="Times New Roman" w:hint="eastAsia"/>
                <w:sz w:val="26"/>
                <w:szCs w:val="26"/>
              </w:rPr>
              <w:t>戲</w:t>
            </w:r>
            <w:r>
              <w:rPr>
                <w:rFonts w:ascii="Times New Roman" w:eastAsia="標楷體" w:hAnsi="Times New Roman" w:cs="Times New Roman"/>
                <w:sz w:val="26"/>
                <w:szCs w:val="26"/>
              </w:rPr>
              <w:t>場</w:t>
            </w:r>
            <w:r>
              <w:rPr>
                <w:rFonts w:ascii="Times New Roman" w:eastAsia="標楷體" w:hAnsi="Times New Roman" w:cs="Times New Roman" w:hint="eastAsia"/>
                <w:sz w:val="26"/>
                <w:szCs w:val="26"/>
              </w:rPr>
              <w:t>設</w:t>
            </w:r>
            <w:r>
              <w:rPr>
                <w:rFonts w:ascii="Times New Roman" w:eastAsia="標楷體" w:hAnsi="Times New Roman" w:cs="Times New Roman"/>
                <w:sz w:val="26"/>
                <w:szCs w:val="26"/>
              </w:rPr>
              <w:t>備</w:t>
            </w:r>
            <w:r>
              <w:rPr>
                <w:rFonts w:ascii="Times New Roman" w:eastAsia="標楷體" w:hAnsi="Times New Roman" w:cs="Times New Roman" w:hint="eastAsia"/>
                <w:sz w:val="26"/>
                <w:szCs w:val="26"/>
              </w:rPr>
              <w:t>C</w:t>
            </w:r>
            <w:r>
              <w:rPr>
                <w:rFonts w:ascii="Times New Roman" w:eastAsia="標楷體" w:hAnsi="Times New Roman" w:cs="Times New Roman"/>
                <w:sz w:val="26"/>
                <w:szCs w:val="26"/>
              </w:rPr>
              <w:t>NS 12642</w:t>
            </w:r>
            <w:r w:rsidR="00680E67">
              <w:rPr>
                <w:rFonts w:ascii="Times New Roman" w:eastAsia="標楷體" w:hAnsi="Times New Roman" w:cs="Times New Roman" w:hint="eastAsia"/>
                <w:sz w:val="26"/>
                <w:szCs w:val="26"/>
              </w:rPr>
              <w:t>之</w:t>
            </w:r>
            <w:r>
              <w:rPr>
                <w:rFonts w:ascii="Times New Roman" w:eastAsia="標楷體" w:hAnsi="Times New Roman" w:cs="Times New Roman" w:hint="eastAsia"/>
                <w:sz w:val="26"/>
                <w:szCs w:val="26"/>
              </w:rPr>
              <w:t>頂</w:t>
            </w:r>
            <w:r>
              <w:rPr>
                <w:rFonts w:ascii="Times New Roman" w:eastAsia="標楷體" w:hAnsi="Times New Roman" w:cs="Times New Roman"/>
                <w:sz w:val="26"/>
                <w:szCs w:val="26"/>
              </w:rPr>
              <w:t>蓋</w:t>
            </w:r>
            <w:r w:rsidR="00680E67">
              <w:rPr>
                <w:rFonts w:ascii="Times New Roman" w:eastAsia="標楷體" w:hAnsi="Times New Roman" w:cs="Times New Roman" w:hint="eastAsia"/>
                <w:sz w:val="26"/>
                <w:szCs w:val="26"/>
              </w:rPr>
              <w:t>及</w:t>
            </w:r>
            <w:r w:rsidR="00680E67">
              <w:rPr>
                <w:rFonts w:ascii="Times New Roman" w:eastAsia="標楷體" w:hAnsi="Times New Roman" w:cs="Times New Roman"/>
                <w:sz w:val="26"/>
                <w:szCs w:val="26"/>
              </w:rPr>
              <w:t>架高之障</w:t>
            </w:r>
            <w:r w:rsidR="00680E67">
              <w:rPr>
                <w:rFonts w:ascii="Times New Roman" w:eastAsia="標楷體" w:hAnsi="Times New Roman" w:cs="Times New Roman" w:hint="eastAsia"/>
                <w:sz w:val="26"/>
                <w:szCs w:val="26"/>
              </w:rPr>
              <w:t>礙物</w:t>
            </w:r>
            <w:r>
              <w:rPr>
                <w:rFonts w:ascii="Times New Roman" w:eastAsia="標楷體" w:hAnsi="Times New Roman" w:cs="Times New Roman"/>
                <w:sz w:val="26"/>
                <w:szCs w:val="26"/>
              </w:rPr>
              <w:t>規</w:t>
            </w:r>
            <w:r>
              <w:rPr>
                <w:rFonts w:ascii="Times New Roman" w:eastAsia="標楷體" w:hAnsi="Times New Roman" w:cs="Times New Roman" w:hint="eastAsia"/>
                <w:sz w:val="26"/>
                <w:szCs w:val="26"/>
              </w:rPr>
              <w:t>範</w:t>
            </w:r>
            <w:r>
              <w:rPr>
                <w:rFonts w:ascii="Times New Roman" w:eastAsia="標楷體" w:hAnsi="Times New Roman" w:cs="Times New Roman"/>
                <w:sz w:val="26"/>
                <w:szCs w:val="26"/>
              </w:rPr>
              <w:t>：</w:t>
            </w:r>
          </w:p>
          <w:p w14:paraId="407BBB08" w14:textId="77777777" w:rsidR="00012FF1" w:rsidRPr="00012FF1" w:rsidRDefault="00012FF1" w:rsidP="00012FF1">
            <w:pPr>
              <w:spacing w:line="240" w:lineRule="auto"/>
              <w:ind w:left="889" w:hangingChars="342" w:hanging="889"/>
              <w:rPr>
                <w:rFonts w:ascii="標楷體" w:eastAsia="標楷體" w:hAnsi="標楷體"/>
                <w:sz w:val="26"/>
                <w:szCs w:val="26"/>
              </w:rPr>
            </w:pPr>
            <w:r w:rsidRPr="00012FF1">
              <w:rPr>
                <w:rFonts w:ascii="標楷體" w:eastAsia="標楷體" w:hAnsi="標楷體"/>
                <w:sz w:val="26"/>
                <w:szCs w:val="26"/>
              </w:rPr>
              <w:t>8.14頂蓋</w:t>
            </w:r>
          </w:p>
          <w:p w14:paraId="65C30017" w14:textId="77777777" w:rsidR="00012FF1" w:rsidRPr="00012FF1" w:rsidRDefault="00012FF1" w:rsidP="00012FF1">
            <w:pPr>
              <w:spacing w:line="240" w:lineRule="auto"/>
              <w:ind w:left="889" w:hangingChars="342" w:hanging="889"/>
              <w:jc w:val="both"/>
              <w:rPr>
                <w:rFonts w:ascii="標楷體" w:eastAsia="標楷體" w:hAnsi="標楷體"/>
                <w:sz w:val="26"/>
                <w:szCs w:val="26"/>
              </w:rPr>
            </w:pPr>
            <w:r w:rsidRPr="00012FF1">
              <w:rPr>
                <w:rFonts w:ascii="標楷體" w:eastAsia="標楷體" w:hAnsi="標楷體"/>
                <w:sz w:val="26"/>
                <w:szCs w:val="26"/>
              </w:rPr>
              <w:t>8.14.1</w:t>
            </w:r>
            <w:r>
              <w:rPr>
                <w:rFonts w:ascii="標楷體" w:eastAsia="標楷體" w:hAnsi="標楷體"/>
                <w:sz w:val="26"/>
                <w:szCs w:val="26"/>
              </w:rPr>
              <w:t>頂</w:t>
            </w:r>
            <w:r>
              <w:rPr>
                <w:rFonts w:ascii="標楷體" w:eastAsia="標楷體" w:hAnsi="標楷體" w:hint="eastAsia"/>
                <w:sz w:val="26"/>
                <w:szCs w:val="26"/>
              </w:rPr>
              <w:t>蓋</w:t>
            </w:r>
            <w:r w:rsidRPr="00012FF1">
              <w:rPr>
                <w:rFonts w:ascii="標楷體" w:eastAsia="標楷體" w:hAnsi="標楷體"/>
                <w:sz w:val="26"/>
                <w:szCs w:val="26"/>
              </w:rPr>
              <w:t>為遊具整</w:t>
            </w:r>
            <w:r>
              <w:rPr>
                <w:rFonts w:ascii="標楷體" w:eastAsia="標楷體" w:hAnsi="標楷體" w:hint="eastAsia"/>
                <w:sz w:val="26"/>
                <w:szCs w:val="26"/>
              </w:rPr>
              <w:t>體</w:t>
            </w:r>
            <w:r>
              <w:rPr>
                <w:rFonts w:ascii="標楷體" w:eastAsia="標楷體" w:hAnsi="標楷體"/>
                <w:sz w:val="26"/>
                <w:szCs w:val="26"/>
              </w:rPr>
              <w:t>之</w:t>
            </w:r>
            <w:r w:rsidRPr="00012FF1">
              <w:rPr>
                <w:rFonts w:ascii="標楷體" w:eastAsia="標楷體" w:hAnsi="標楷體"/>
                <w:sz w:val="26"/>
                <w:szCs w:val="26"/>
              </w:rPr>
              <w:t>一部分</w:t>
            </w:r>
            <w:r>
              <w:rPr>
                <w:rFonts w:ascii="標楷體" w:eastAsia="標楷體" w:hAnsi="標楷體" w:hint="eastAsia"/>
                <w:sz w:val="26"/>
                <w:szCs w:val="26"/>
              </w:rPr>
              <w:t>，</w:t>
            </w:r>
            <w:r w:rsidRPr="00012FF1">
              <w:rPr>
                <w:rFonts w:ascii="標楷體" w:eastAsia="標楷體" w:hAnsi="標楷體"/>
                <w:sz w:val="26"/>
                <w:szCs w:val="26"/>
              </w:rPr>
              <w:t>可為</w:t>
            </w:r>
            <w:r>
              <w:rPr>
                <w:rFonts w:ascii="標楷體" w:eastAsia="標楷體" w:hAnsi="標楷體" w:hint="eastAsia"/>
                <w:sz w:val="26"/>
                <w:szCs w:val="26"/>
              </w:rPr>
              <w:t>任</w:t>
            </w:r>
            <w:r w:rsidRPr="00012FF1">
              <w:rPr>
                <w:rFonts w:ascii="標楷體" w:eastAsia="標楷體" w:hAnsi="標楷體"/>
                <w:sz w:val="26"/>
                <w:szCs w:val="26"/>
              </w:rPr>
              <w:t>何角度</w:t>
            </w:r>
            <w:r>
              <w:rPr>
                <w:rFonts w:ascii="標楷體" w:eastAsia="標楷體" w:hAnsi="標楷體" w:hint="eastAsia"/>
                <w:sz w:val="26"/>
                <w:szCs w:val="26"/>
              </w:rPr>
              <w:t>，</w:t>
            </w:r>
            <w:r w:rsidRPr="00012FF1">
              <w:rPr>
                <w:rFonts w:ascii="標楷體" w:eastAsia="標楷體" w:hAnsi="標楷體"/>
                <w:sz w:val="26"/>
                <w:szCs w:val="26"/>
              </w:rPr>
              <w:t>如其頂蓋線(最低周緣)</w:t>
            </w:r>
            <w:r>
              <w:rPr>
                <w:rFonts w:ascii="標楷體" w:eastAsia="標楷體" w:hAnsi="標楷體" w:hint="eastAsia"/>
                <w:sz w:val="26"/>
                <w:szCs w:val="26"/>
              </w:rPr>
              <w:t>，</w:t>
            </w:r>
            <w:r w:rsidRPr="00012FF1">
              <w:rPr>
                <w:rFonts w:ascii="標楷體" w:eastAsia="標楷體" w:hAnsi="標楷體"/>
                <w:sz w:val="26"/>
                <w:szCs w:val="26"/>
              </w:rPr>
              <w:t>不包括</w:t>
            </w:r>
            <w:r>
              <w:rPr>
                <w:rFonts w:ascii="標楷體" w:eastAsia="標楷體" w:hAnsi="標楷體" w:hint="eastAsia"/>
                <w:sz w:val="26"/>
                <w:szCs w:val="26"/>
              </w:rPr>
              <w:t>支</w:t>
            </w:r>
            <w:r w:rsidRPr="00012FF1">
              <w:rPr>
                <w:rFonts w:ascii="標楷體" w:eastAsia="標楷體" w:hAnsi="標楷體"/>
                <w:sz w:val="26"/>
                <w:szCs w:val="26"/>
              </w:rPr>
              <w:t>撐構件</w:t>
            </w:r>
            <w:r>
              <w:rPr>
                <w:rFonts w:ascii="標楷體" w:eastAsia="標楷體" w:hAnsi="標楷體" w:hint="eastAsia"/>
                <w:sz w:val="26"/>
                <w:szCs w:val="26"/>
              </w:rPr>
              <w:t>，</w:t>
            </w:r>
            <w:r w:rsidRPr="00012FF1">
              <w:rPr>
                <w:rFonts w:ascii="標楷體" w:eastAsia="標楷體" w:hAnsi="標楷體"/>
                <w:sz w:val="26"/>
                <w:szCs w:val="26"/>
              </w:rPr>
              <w:t>至少要高於其下方的遊戲平面2,130mm。</w:t>
            </w:r>
          </w:p>
          <w:p w14:paraId="04E75890" w14:textId="77777777" w:rsidR="00012FF1" w:rsidRPr="00012FF1" w:rsidRDefault="00012FF1" w:rsidP="00012FF1">
            <w:pPr>
              <w:spacing w:line="240" w:lineRule="auto"/>
              <w:ind w:left="889" w:hangingChars="342" w:hanging="889"/>
              <w:jc w:val="both"/>
              <w:rPr>
                <w:rFonts w:ascii="標楷體" w:eastAsia="標楷體" w:hAnsi="標楷體"/>
                <w:sz w:val="26"/>
                <w:szCs w:val="26"/>
              </w:rPr>
            </w:pPr>
            <w:r w:rsidRPr="00012FF1">
              <w:rPr>
                <w:rFonts w:ascii="標楷體" w:eastAsia="標楷體" w:hAnsi="標楷體"/>
                <w:sz w:val="26"/>
                <w:szCs w:val="26"/>
              </w:rPr>
              <w:t>8.14.2</w:t>
            </w:r>
            <w:r>
              <w:rPr>
                <w:rFonts w:ascii="標楷體" w:eastAsia="標楷體" w:hAnsi="標楷體" w:hint="eastAsia"/>
                <w:sz w:val="26"/>
                <w:szCs w:val="26"/>
              </w:rPr>
              <w:t>頂</w:t>
            </w:r>
            <w:r w:rsidRPr="00012FF1">
              <w:rPr>
                <w:rFonts w:ascii="標楷體" w:eastAsia="標楷體" w:hAnsi="標楷體"/>
                <w:sz w:val="26"/>
                <w:szCs w:val="26"/>
              </w:rPr>
              <w:t>蓋為遊具整體之一部分</w:t>
            </w:r>
            <w:r>
              <w:rPr>
                <w:rFonts w:ascii="標楷體" w:eastAsia="標楷體" w:hAnsi="標楷體" w:hint="eastAsia"/>
                <w:sz w:val="26"/>
                <w:szCs w:val="26"/>
              </w:rPr>
              <w:t>，</w:t>
            </w:r>
            <w:r w:rsidRPr="00012FF1">
              <w:rPr>
                <w:rFonts w:ascii="標楷體" w:eastAsia="標楷體" w:hAnsi="標楷體"/>
                <w:sz w:val="26"/>
                <w:szCs w:val="26"/>
              </w:rPr>
              <w:t>若其最低</w:t>
            </w:r>
            <w:r>
              <w:rPr>
                <w:rFonts w:ascii="標楷體" w:eastAsia="標楷體" w:hAnsi="標楷體" w:hint="eastAsia"/>
                <w:sz w:val="26"/>
                <w:szCs w:val="26"/>
              </w:rPr>
              <w:t>周</w:t>
            </w:r>
            <w:r w:rsidRPr="00012FF1">
              <w:rPr>
                <w:rFonts w:ascii="標楷體" w:eastAsia="標楷體" w:hAnsi="標楷體"/>
                <w:sz w:val="26"/>
                <w:szCs w:val="26"/>
              </w:rPr>
              <w:t>緣距離遊</w:t>
            </w:r>
            <w:r>
              <w:rPr>
                <w:rFonts w:ascii="標楷體" w:eastAsia="標楷體" w:hAnsi="標楷體" w:hint="eastAsia"/>
                <w:sz w:val="26"/>
                <w:szCs w:val="26"/>
              </w:rPr>
              <w:t>戲</w:t>
            </w:r>
            <w:r w:rsidRPr="00012FF1">
              <w:rPr>
                <w:rFonts w:ascii="標楷體" w:eastAsia="標楷體" w:hAnsi="標楷體"/>
                <w:sz w:val="26"/>
                <w:szCs w:val="26"/>
              </w:rPr>
              <w:t>平面少於2</w:t>
            </w:r>
            <w:r>
              <w:rPr>
                <w:rFonts w:ascii="標楷體" w:eastAsia="標楷體" w:hAnsi="標楷體"/>
                <w:sz w:val="26"/>
                <w:szCs w:val="26"/>
              </w:rPr>
              <w:t>,1</w:t>
            </w:r>
            <w:r w:rsidRPr="00012FF1">
              <w:rPr>
                <w:rFonts w:ascii="標楷體" w:eastAsia="標楷體" w:hAnsi="標楷體"/>
                <w:sz w:val="26"/>
                <w:szCs w:val="26"/>
              </w:rPr>
              <w:t>30mm時</w:t>
            </w:r>
            <w:r>
              <w:rPr>
                <w:rFonts w:ascii="標楷體" w:eastAsia="標楷體" w:hAnsi="標楷體" w:hint="eastAsia"/>
                <w:sz w:val="26"/>
                <w:szCs w:val="26"/>
              </w:rPr>
              <w:t>，</w:t>
            </w:r>
            <w:r w:rsidRPr="00012FF1">
              <w:rPr>
                <w:rFonts w:ascii="標楷體" w:eastAsia="標楷體" w:hAnsi="標楷體"/>
                <w:sz w:val="26"/>
                <w:szCs w:val="26"/>
              </w:rPr>
              <w:t>頂蓋應為不具遊戲平面之設計。</w:t>
            </w:r>
          </w:p>
          <w:p w14:paraId="3A3D367F" w14:textId="77777777" w:rsidR="00012FF1" w:rsidRPr="00012FF1" w:rsidRDefault="00012FF1" w:rsidP="00012FF1">
            <w:pPr>
              <w:spacing w:line="240" w:lineRule="auto"/>
              <w:ind w:left="889" w:hangingChars="342" w:hanging="889"/>
              <w:jc w:val="both"/>
              <w:rPr>
                <w:rFonts w:ascii="標楷體" w:eastAsia="標楷體" w:hAnsi="標楷體" w:cs="新細明體"/>
                <w:sz w:val="26"/>
                <w:szCs w:val="26"/>
              </w:rPr>
            </w:pPr>
            <w:r w:rsidRPr="00012FF1">
              <w:rPr>
                <w:rFonts w:ascii="標楷體" w:eastAsia="標楷體" w:hAnsi="標楷體" w:cs="新細明體"/>
                <w:sz w:val="26"/>
                <w:szCs w:val="26"/>
              </w:rPr>
              <w:t>8.14.3支撐構件應設計成不鼓勵攀爬及無遊戲平面。</w:t>
            </w:r>
          </w:p>
          <w:p w14:paraId="59608A17" w14:textId="77777777" w:rsidR="00012FF1" w:rsidRDefault="00012FF1" w:rsidP="00012FF1">
            <w:pPr>
              <w:spacing w:line="240" w:lineRule="auto"/>
              <w:ind w:left="889" w:hangingChars="342" w:hanging="889"/>
              <w:jc w:val="both"/>
              <w:rPr>
                <w:rFonts w:ascii="標楷體" w:eastAsia="標楷體" w:hAnsi="標楷體" w:cs="新細明體"/>
                <w:sz w:val="26"/>
                <w:szCs w:val="26"/>
              </w:rPr>
            </w:pPr>
            <w:r w:rsidRPr="00012FF1">
              <w:rPr>
                <w:rFonts w:ascii="標楷體" w:eastAsia="標楷體" w:hAnsi="標楷體" w:cs="新細明體"/>
                <w:sz w:val="26"/>
                <w:szCs w:val="26"/>
              </w:rPr>
              <w:t>8.14.4</w:t>
            </w:r>
            <w:r>
              <w:rPr>
                <w:rFonts w:ascii="標楷體" w:eastAsia="標楷體" w:hAnsi="標楷體" w:cs="新細明體"/>
                <w:sz w:val="26"/>
                <w:szCs w:val="26"/>
              </w:rPr>
              <w:t>頂</w:t>
            </w:r>
            <w:r w:rsidR="00680E67">
              <w:rPr>
                <w:rFonts w:ascii="標楷體" w:eastAsia="標楷體" w:hAnsi="標楷體" w:cs="新細明體" w:hint="eastAsia"/>
                <w:sz w:val="26"/>
                <w:szCs w:val="26"/>
              </w:rPr>
              <w:t>蓋</w:t>
            </w:r>
            <w:r w:rsidRPr="00012FF1">
              <w:rPr>
                <w:rFonts w:ascii="標楷體" w:eastAsia="標楷體" w:hAnsi="標楷體" w:cs="新細明體"/>
                <w:sz w:val="26"/>
                <w:szCs w:val="26"/>
              </w:rPr>
              <w:t>無落高度之要求事項。</w:t>
            </w:r>
          </w:p>
          <w:p w14:paraId="679E7A08" w14:textId="77777777" w:rsidR="00680E67" w:rsidRDefault="00680E67" w:rsidP="00012FF1">
            <w:pPr>
              <w:spacing w:line="240" w:lineRule="auto"/>
              <w:ind w:left="889" w:hangingChars="342" w:hanging="889"/>
              <w:jc w:val="both"/>
              <w:rPr>
                <w:rFonts w:ascii="標楷體" w:eastAsia="標楷體" w:hAnsi="標楷體" w:cs="新細明體"/>
                <w:sz w:val="26"/>
                <w:szCs w:val="26"/>
              </w:rPr>
            </w:pPr>
            <w:r>
              <w:rPr>
                <w:rFonts w:ascii="標楷體" w:eastAsia="標楷體" w:hAnsi="標楷體" w:cs="新細明體" w:hint="eastAsia"/>
                <w:sz w:val="26"/>
                <w:szCs w:val="26"/>
              </w:rPr>
              <w:t>9.8.4架</w:t>
            </w:r>
            <w:r>
              <w:rPr>
                <w:rFonts w:ascii="標楷體" w:eastAsia="標楷體" w:hAnsi="標楷體" w:cs="新細明體"/>
                <w:sz w:val="26"/>
                <w:szCs w:val="26"/>
              </w:rPr>
              <w:t>高之障礙</w:t>
            </w:r>
            <w:r>
              <w:rPr>
                <w:rFonts w:ascii="標楷體" w:eastAsia="標楷體" w:hAnsi="標楷體" w:cs="新細明體" w:hint="eastAsia"/>
                <w:sz w:val="26"/>
                <w:szCs w:val="26"/>
              </w:rPr>
              <w:t>物</w:t>
            </w:r>
          </w:p>
          <w:p w14:paraId="45BC7167" w14:textId="77777777" w:rsidR="00680E67" w:rsidRPr="00012FF1" w:rsidRDefault="00680E67" w:rsidP="00680E67">
            <w:pPr>
              <w:spacing w:line="240" w:lineRule="auto"/>
              <w:ind w:leftChars="-22" w:left="-48" w:firstLine="2"/>
              <w:jc w:val="both"/>
              <w:rPr>
                <w:rFonts w:ascii="Times New Roman" w:eastAsia="標楷體" w:hAnsi="Times New Roman" w:cs="Times New Roman"/>
                <w:sz w:val="26"/>
                <w:szCs w:val="26"/>
              </w:rPr>
            </w:pPr>
            <w:r>
              <w:rPr>
                <w:rFonts w:ascii="標楷體" w:eastAsia="標楷體" w:hAnsi="標楷體" w:cs="新細明體" w:hint="eastAsia"/>
                <w:sz w:val="26"/>
                <w:szCs w:val="26"/>
              </w:rPr>
              <w:t>遊</w:t>
            </w:r>
            <w:r>
              <w:rPr>
                <w:rFonts w:ascii="標楷體" w:eastAsia="標楷體" w:hAnsi="標楷體" w:cs="新細明體"/>
                <w:sz w:val="26"/>
                <w:szCs w:val="26"/>
              </w:rPr>
              <w:t>戲場設備使</w:t>
            </w:r>
            <w:r>
              <w:rPr>
                <w:rFonts w:ascii="標楷體" w:eastAsia="標楷體" w:hAnsi="標楷體" w:cs="新細明體" w:hint="eastAsia"/>
                <w:sz w:val="26"/>
                <w:szCs w:val="26"/>
              </w:rPr>
              <w:t>用</w:t>
            </w:r>
            <w:r>
              <w:rPr>
                <w:rFonts w:ascii="標楷體" w:eastAsia="標楷體" w:hAnsi="標楷體" w:cs="新細明體"/>
                <w:sz w:val="26"/>
                <w:szCs w:val="26"/>
              </w:rPr>
              <w:t>區內</w:t>
            </w:r>
            <w:r>
              <w:rPr>
                <w:rFonts w:ascii="標楷體" w:eastAsia="標楷體" w:hAnsi="標楷體" w:cs="新細明體" w:hint="eastAsia"/>
                <w:sz w:val="26"/>
                <w:szCs w:val="26"/>
              </w:rPr>
              <w:t>，</w:t>
            </w:r>
            <w:r>
              <w:rPr>
                <w:rFonts w:ascii="標楷體" w:eastAsia="標楷體" w:hAnsi="標楷體" w:cs="新細明體"/>
                <w:sz w:val="26"/>
                <w:szCs w:val="26"/>
              </w:rPr>
              <w:t>不屬於遊具一部分之</w:t>
            </w:r>
            <w:r>
              <w:rPr>
                <w:rFonts w:ascii="標楷體" w:eastAsia="標楷體" w:hAnsi="標楷體" w:cs="新細明體" w:hint="eastAsia"/>
                <w:sz w:val="26"/>
                <w:szCs w:val="26"/>
              </w:rPr>
              <w:t>上方障</w:t>
            </w:r>
            <w:r>
              <w:rPr>
                <w:rFonts w:ascii="標楷體" w:eastAsia="標楷體" w:hAnsi="標楷體" w:cs="新細明體"/>
                <w:sz w:val="26"/>
                <w:szCs w:val="26"/>
              </w:rPr>
              <w:t>礙物</w:t>
            </w:r>
            <w:r>
              <w:rPr>
                <w:rFonts w:ascii="標楷體" w:eastAsia="標楷體" w:hAnsi="標楷體" w:cs="新細明體" w:hint="eastAsia"/>
                <w:sz w:val="26"/>
                <w:szCs w:val="26"/>
              </w:rPr>
              <w:t>(例</w:t>
            </w:r>
            <w:r>
              <w:rPr>
                <w:rFonts w:ascii="標楷體" w:eastAsia="標楷體" w:hAnsi="標楷體" w:cs="新細明體"/>
                <w:sz w:val="26"/>
                <w:szCs w:val="26"/>
              </w:rPr>
              <w:t>：</w:t>
            </w:r>
            <w:r>
              <w:rPr>
                <w:rFonts w:ascii="標楷體" w:eastAsia="標楷體" w:hAnsi="標楷體" w:cs="新細明體" w:hint="eastAsia"/>
                <w:sz w:val="26"/>
                <w:szCs w:val="26"/>
              </w:rPr>
              <w:t>樹</w:t>
            </w:r>
            <w:r>
              <w:rPr>
                <w:rFonts w:ascii="標楷體" w:eastAsia="標楷體" w:hAnsi="標楷體" w:cs="新細明體"/>
                <w:sz w:val="26"/>
                <w:szCs w:val="26"/>
              </w:rPr>
              <w:t>枝</w:t>
            </w:r>
            <w:r>
              <w:rPr>
                <w:rFonts w:ascii="標楷體" w:eastAsia="標楷體" w:hAnsi="標楷體" w:cs="新細明體" w:hint="eastAsia"/>
                <w:sz w:val="26"/>
                <w:szCs w:val="26"/>
              </w:rPr>
              <w:t>)，</w:t>
            </w:r>
            <w:r>
              <w:rPr>
                <w:rFonts w:ascii="標楷體" w:eastAsia="標楷體" w:hAnsi="標楷體" w:cs="新細明體"/>
                <w:sz w:val="26"/>
                <w:szCs w:val="26"/>
              </w:rPr>
              <w:t>與遊戲平面或鞦韆之</w:t>
            </w:r>
            <w:r>
              <w:rPr>
                <w:rFonts w:ascii="標楷體" w:eastAsia="標楷體" w:hAnsi="標楷體" w:cs="新細明體" w:hint="eastAsia"/>
                <w:sz w:val="26"/>
                <w:szCs w:val="26"/>
              </w:rPr>
              <w:t>樞</w:t>
            </w:r>
            <w:r>
              <w:rPr>
                <w:rFonts w:ascii="標楷體" w:eastAsia="標楷體" w:hAnsi="標楷體" w:cs="新細明體"/>
                <w:sz w:val="26"/>
                <w:szCs w:val="26"/>
              </w:rPr>
              <w:t>軸點之距離應不小於</w:t>
            </w:r>
            <w:r>
              <w:rPr>
                <w:rFonts w:ascii="標楷體" w:eastAsia="標楷體" w:hAnsi="標楷體" w:cs="新細明體" w:hint="eastAsia"/>
                <w:sz w:val="26"/>
                <w:szCs w:val="26"/>
              </w:rPr>
              <w:t>2</w:t>
            </w:r>
            <w:r>
              <w:rPr>
                <w:rFonts w:ascii="標楷體" w:eastAsia="標楷體" w:hAnsi="標楷體" w:cs="新細明體"/>
                <w:sz w:val="26"/>
                <w:szCs w:val="26"/>
              </w:rPr>
              <w:t>,130mm</w:t>
            </w:r>
            <w:r>
              <w:rPr>
                <w:rFonts w:ascii="標楷體" w:eastAsia="標楷體" w:hAnsi="標楷體" w:cs="新細明體" w:hint="eastAsia"/>
                <w:sz w:val="26"/>
                <w:szCs w:val="26"/>
              </w:rPr>
              <w:t>。</w:t>
            </w:r>
          </w:p>
        </w:tc>
        <w:tc>
          <w:tcPr>
            <w:tcW w:w="1324" w:type="dxa"/>
            <w:vAlign w:val="center"/>
          </w:tcPr>
          <w:p w14:paraId="695756DB" w14:textId="77777777" w:rsidR="00012FF1" w:rsidRPr="00173C37" w:rsidRDefault="00012FF1"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56ABF29D" w14:textId="77777777" w:rsidR="00012FF1" w:rsidRPr="00173C37" w:rsidRDefault="00012FF1"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1D874FD2" w14:textId="77777777" w:rsidR="00012FF1" w:rsidRPr="00173C37" w:rsidRDefault="00012FF1" w:rsidP="00167AC5">
            <w:pPr>
              <w:spacing w:line="400" w:lineRule="exact"/>
              <w:jc w:val="both"/>
              <w:rPr>
                <w:rFonts w:ascii="Times New Roman" w:eastAsia="標楷體" w:hAnsi="Times New Roman" w:cs="Times New Roman"/>
                <w:sz w:val="26"/>
                <w:szCs w:val="26"/>
              </w:rPr>
            </w:pPr>
          </w:p>
        </w:tc>
      </w:tr>
      <w:tr w:rsidR="005E4A21" w:rsidRPr="00A243C7" w14:paraId="5F875CDC" w14:textId="77777777" w:rsidTr="00012FF1">
        <w:trPr>
          <w:trHeight w:val="454"/>
        </w:trPr>
        <w:tc>
          <w:tcPr>
            <w:tcW w:w="0" w:type="auto"/>
            <w:vMerge w:val="restart"/>
            <w:vAlign w:val="center"/>
          </w:tcPr>
          <w:p w14:paraId="129D0389"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結構系統與組</w:t>
            </w:r>
            <w:r w:rsidRPr="00173C37">
              <w:rPr>
                <w:rFonts w:ascii="Times New Roman" w:eastAsia="標楷體" w:hAnsi="Times New Roman" w:cs="Times New Roman" w:hint="eastAsia"/>
                <w:sz w:val="26"/>
                <w:szCs w:val="26"/>
              </w:rPr>
              <w:lastRenderedPageBreak/>
              <w:t>件設計</w:t>
            </w:r>
          </w:p>
        </w:tc>
        <w:tc>
          <w:tcPr>
            <w:tcW w:w="0" w:type="auto"/>
            <w:vAlign w:val="center"/>
          </w:tcPr>
          <w:p w14:paraId="2C9D5F6F"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lastRenderedPageBreak/>
              <w:t>1</w:t>
            </w:r>
          </w:p>
        </w:tc>
        <w:tc>
          <w:tcPr>
            <w:tcW w:w="0" w:type="auto"/>
            <w:vAlign w:val="center"/>
          </w:tcPr>
          <w:p w14:paraId="2C62F5CC"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屋架結構：採韌性抗彎矩構架系統為地上</w:t>
            </w:r>
            <w:r w:rsidRPr="00173C37">
              <w:rPr>
                <w:rFonts w:ascii="Times New Roman" w:eastAsia="標楷體" w:hAnsi="Times New Roman" w:cs="Times New Roman" w:hint="eastAsia"/>
                <w:sz w:val="26"/>
                <w:szCs w:val="26"/>
                <w:lang w:eastAsia="zh-TW"/>
              </w:rPr>
              <w:t>1</w:t>
            </w:r>
            <w:r w:rsidRPr="00173C37">
              <w:rPr>
                <w:rFonts w:ascii="Times New Roman" w:eastAsia="標楷體" w:hAnsi="Times New Roman" w:cs="Times New Roman" w:hint="eastAsia"/>
                <w:sz w:val="26"/>
                <w:szCs w:val="26"/>
                <w:lang w:eastAsia="zh-TW"/>
              </w:rPr>
              <w:t>層鋼骨構造物。</w:t>
            </w:r>
          </w:p>
        </w:tc>
        <w:tc>
          <w:tcPr>
            <w:tcW w:w="1324" w:type="dxa"/>
            <w:vAlign w:val="center"/>
          </w:tcPr>
          <w:p w14:paraId="6B7C7018"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1FE53285"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36CFDE13"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61CB3DC3" w14:textId="77777777" w:rsidTr="00012FF1">
        <w:trPr>
          <w:trHeight w:val="454"/>
        </w:trPr>
        <w:tc>
          <w:tcPr>
            <w:tcW w:w="0" w:type="auto"/>
            <w:vMerge/>
            <w:vAlign w:val="center"/>
          </w:tcPr>
          <w:p w14:paraId="67025B95"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6080400A"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3325A277"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風雨球場結構以鋼構為主，亦可採用</w:t>
            </w:r>
            <w:r w:rsidRPr="00173C37">
              <w:rPr>
                <w:rFonts w:ascii="Times New Roman" w:eastAsia="標楷體" w:hAnsi="Times New Roman" w:cs="Times New Roman" w:hint="eastAsia"/>
                <w:sz w:val="26"/>
                <w:szCs w:val="26"/>
                <w:lang w:eastAsia="zh-TW"/>
              </w:rPr>
              <w:t>RC</w:t>
            </w:r>
            <w:r w:rsidRPr="00173C37">
              <w:rPr>
                <w:rFonts w:ascii="Times New Roman" w:eastAsia="標楷體" w:hAnsi="Times New Roman" w:cs="Times New Roman" w:hint="eastAsia"/>
                <w:sz w:val="26"/>
                <w:szCs w:val="26"/>
                <w:lang w:eastAsia="zh-TW"/>
              </w:rPr>
              <w:t>柱結合鋼構支柱。</w:t>
            </w:r>
          </w:p>
        </w:tc>
        <w:tc>
          <w:tcPr>
            <w:tcW w:w="1324" w:type="dxa"/>
            <w:vAlign w:val="center"/>
          </w:tcPr>
          <w:p w14:paraId="45D6791C"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4FF104C2"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lastRenderedPageBreak/>
              <w:t>否</w:t>
            </w:r>
            <w:r w:rsidRPr="00173C37">
              <w:rPr>
                <w:rFonts w:ascii="標楷體" w:eastAsia="標楷體" w:hAnsi="標楷體" w:cs="Times New Roman" w:hint="eastAsia"/>
                <w:color w:val="000000" w:themeColor="text1"/>
                <w:sz w:val="26"/>
                <w:szCs w:val="26"/>
              </w:rPr>
              <w:t>□</w:t>
            </w:r>
          </w:p>
        </w:tc>
        <w:tc>
          <w:tcPr>
            <w:tcW w:w="709" w:type="dxa"/>
          </w:tcPr>
          <w:p w14:paraId="6C505B4B"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43C94B37" w14:textId="77777777" w:rsidTr="00012FF1">
        <w:trPr>
          <w:trHeight w:val="454"/>
        </w:trPr>
        <w:tc>
          <w:tcPr>
            <w:tcW w:w="0" w:type="auto"/>
            <w:vMerge/>
            <w:vAlign w:val="center"/>
          </w:tcPr>
          <w:p w14:paraId="4D0D42DF"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10CB477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618193FE"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基礎型式得採獨立基腳。</w:t>
            </w:r>
          </w:p>
        </w:tc>
        <w:tc>
          <w:tcPr>
            <w:tcW w:w="1324" w:type="dxa"/>
            <w:vAlign w:val="center"/>
          </w:tcPr>
          <w:p w14:paraId="43176977"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7435CD2C"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4F0D141C"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41B96F93" w14:textId="77777777" w:rsidTr="00012FF1">
        <w:trPr>
          <w:trHeight w:val="454"/>
        </w:trPr>
        <w:tc>
          <w:tcPr>
            <w:tcW w:w="0" w:type="auto"/>
            <w:vMerge/>
            <w:vAlign w:val="center"/>
          </w:tcPr>
          <w:p w14:paraId="1C575D0B"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5E991D3A"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4</w:t>
            </w:r>
          </w:p>
        </w:tc>
        <w:tc>
          <w:tcPr>
            <w:tcW w:w="0" w:type="auto"/>
            <w:vAlign w:val="center"/>
          </w:tcPr>
          <w:p w14:paraId="330316AF"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基礎底面應先鋪設高度至少</w:t>
            </w:r>
            <w:r w:rsidRPr="00173C37">
              <w:rPr>
                <w:rFonts w:ascii="Times New Roman" w:eastAsia="標楷體" w:hAnsi="Times New Roman" w:cs="Times New Roman" w:hint="eastAsia"/>
                <w:sz w:val="26"/>
                <w:szCs w:val="26"/>
                <w:lang w:eastAsia="zh-TW"/>
              </w:rPr>
              <w:t>10</w:t>
            </w:r>
            <w:r w:rsidRPr="00173C37">
              <w:rPr>
                <w:rFonts w:ascii="Times New Roman" w:eastAsia="標楷體" w:hAnsi="Times New Roman" w:cs="Times New Roman" w:hint="eastAsia"/>
                <w:sz w:val="26"/>
                <w:szCs w:val="26"/>
                <w:lang w:eastAsia="zh-TW"/>
              </w:rPr>
              <w:t>公分的墊底混凝土</w:t>
            </w:r>
            <w:r w:rsidRPr="00173C37">
              <w:rPr>
                <w:rFonts w:ascii="Times New Roman" w:eastAsia="標楷體" w:hAnsi="Times New Roman" w:cs="Times New Roman" w:hint="eastAsia"/>
                <w:sz w:val="26"/>
                <w:szCs w:val="26"/>
                <w:lang w:eastAsia="zh-TW"/>
              </w:rPr>
              <w:t>(fc</w:t>
            </w:r>
            <w:r w:rsidRPr="00173C37">
              <w:rPr>
                <w:rFonts w:ascii="Times New Roman" w:eastAsia="標楷體" w:hAnsi="Times New Roman" w:cs="Times New Roman" w:hint="eastAsia"/>
                <w:sz w:val="26"/>
                <w:szCs w:val="26"/>
                <w:lang w:eastAsia="zh-TW"/>
              </w:rPr>
              <w:t>’≧</w:t>
            </w:r>
            <w:r w:rsidRPr="00173C37">
              <w:rPr>
                <w:rFonts w:ascii="Times New Roman" w:eastAsia="標楷體" w:hAnsi="Times New Roman" w:cs="Times New Roman" w:hint="eastAsia"/>
                <w:sz w:val="26"/>
                <w:szCs w:val="26"/>
                <w:lang w:eastAsia="zh-TW"/>
              </w:rPr>
              <w:t>140kgf/cm2)</w:t>
            </w:r>
            <w:r w:rsidRPr="00173C37">
              <w:rPr>
                <w:rFonts w:ascii="Times New Roman" w:eastAsia="標楷體" w:hAnsi="Times New Roman" w:cs="Times New Roman" w:hint="eastAsia"/>
                <w:sz w:val="26"/>
                <w:szCs w:val="26"/>
                <w:lang w:eastAsia="zh-TW"/>
              </w:rPr>
              <w:t>後方可進行放樣及基礎版施工。</w:t>
            </w:r>
          </w:p>
        </w:tc>
        <w:tc>
          <w:tcPr>
            <w:tcW w:w="1324" w:type="dxa"/>
            <w:vAlign w:val="center"/>
          </w:tcPr>
          <w:p w14:paraId="1889FE89"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00F681C6"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BDD3EA8"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67D8F72D" w14:textId="77777777" w:rsidTr="00012FF1">
        <w:trPr>
          <w:trHeight w:val="454"/>
        </w:trPr>
        <w:tc>
          <w:tcPr>
            <w:tcW w:w="0" w:type="auto"/>
            <w:vMerge/>
            <w:vAlign w:val="center"/>
          </w:tcPr>
          <w:p w14:paraId="01FA36C1"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77134BE6"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5</w:t>
            </w:r>
          </w:p>
        </w:tc>
        <w:tc>
          <w:tcPr>
            <w:tcW w:w="0" w:type="auto"/>
            <w:vAlign w:val="center"/>
          </w:tcPr>
          <w:p w14:paraId="3A53A2D4"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sz w:val="26"/>
                <w:szCs w:val="26"/>
                <w:lang w:eastAsia="zh-TW"/>
              </w:rPr>
              <w:t>結結構設計應符合「建築物耐風設計規範及解說」之規定，惟依據「國有公用不動產設置太陽光電發電設備租賃契約書」訂定基本設計風速在</w:t>
            </w:r>
            <w:r w:rsidRPr="00173C37">
              <w:rPr>
                <w:rFonts w:ascii="Times New Roman" w:eastAsia="標楷體" w:hAnsi="Times New Roman" w:cs="Times New Roman"/>
                <w:sz w:val="26"/>
                <w:szCs w:val="26"/>
                <w:lang w:eastAsia="zh-TW"/>
              </w:rPr>
              <w:t>32.5</w:t>
            </w:r>
            <w:r w:rsidRPr="00173C37">
              <w:rPr>
                <w:rFonts w:ascii="Times New Roman" w:eastAsia="標楷體" w:hAnsi="Times New Roman" w:cs="Times New Roman"/>
                <w:sz w:val="26"/>
                <w:szCs w:val="26"/>
                <w:lang w:eastAsia="zh-TW"/>
              </w:rPr>
              <w:t>公尺</w:t>
            </w:r>
            <w:r w:rsidRPr="00173C37">
              <w:rPr>
                <w:rFonts w:ascii="Times New Roman" w:eastAsia="標楷體" w:hAnsi="Times New Roman" w:cs="Times New Roman"/>
                <w:sz w:val="26"/>
                <w:szCs w:val="26"/>
                <w:lang w:eastAsia="zh-TW"/>
              </w:rPr>
              <w:t>/</w:t>
            </w:r>
            <w:r w:rsidRPr="00173C37">
              <w:rPr>
                <w:rFonts w:ascii="Times New Roman" w:eastAsia="標楷體" w:hAnsi="Times New Roman" w:cs="Times New Roman"/>
                <w:sz w:val="26"/>
                <w:szCs w:val="26"/>
                <w:lang w:eastAsia="zh-TW"/>
              </w:rPr>
              <w:t>秒以下地區者，須採用</w:t>
            </w:r>
            <w:r w:rsidRPr="00173C37">
              <w:rPr>
                <w:rFonts w:ascii="Times New Roman" w:eastAsia="標楷體" w:hAnsi="Times New Roman" w:cs="Times New Roman"/>
                <w:sz w:val="26"/>
                <w:szCs w:val="26"/>
                <w:lang w:eastAsia="zh-TW"/>
              </w:rPr>
              <w:t>32.5</w:t>
            </w:r>
            <w:r w:rsidRPr="00173C37">
              <w:rPr>
                <w:rFonts w:ascii="Times New Roman" w:eastAsia="標楷體" w:hAnsi="Times New Roman" w:cs="Times New Roman"/>
                <w:sz w:val="26"/>
                <w:szCs w:val="26"/>
                <w:lang w:eastAsia="zh-TW"/>
              </w:rPr>
              <w:t>公尺</w:t>
            </w:r>
            <w:r w:rsidRPr="00173C37">
              <w:rPr>
                <w:rFonts w:ascii="Times New Roman" w:eastAsia="標楷體" w:hAnsi="Times New Roman" w:cs="Times New Roman"/>
                <w:sz w:val="26"/>
                <w:szCs w:val="26"/>
                <w:lang w:eastAsia="zh-TW"/>
              </w:rPr>
              <w:t>/</w:t>
            </w:r>
            <w:r w:rsidRPr="00173C37">
              <w:rPr>
                <w:rFonts w:ascii="Times New Roman" w:eastAsia="標楷體" w:hAnsi="Times New Roman" w:cs="Times New Roman"/>
                <w:sz w:val="26"/>
                <w:szCs w:val="26"/>
                <w:lang w:eastAsia="zh-TW"/>
              </w:rPr>
              <w:t>秒之平均風速作為基本設計風速，另若高於</w:t>
            </w:r>
            <w:r w:rsidRPr="00173C37">
              <w:rPr>
                <w:rFonts w:ascii="Times New Roman" w:eastAsia="標楷體" w:hAnsi="Times New Roman" w:cs="Times New Roman"/>
                <w:sz w:val="26"/>
                <w:szCs w:val="26"/>
                <w:lang w:eastAsia="zh-TW"/>
              </w:rPr>
              <w:t>32.5</w:t>
            </w:r>
            <w:r w:rsidRPr="00173C37">
              <w:rPr>
                <w:rFonts w:ascii="Times New Roman" w:eastAsia="標楷體" w:hAnsi="Times New Roman" w:cs="Times New Roman"/>
                <w:sz w:val="26"/>
                <w:szCs w:val="26"/>
                <w:lang w:eastAsia="zh-TW"/>
              </w:rPr>
              <w:t>公尺</w:t>
            </w:r>
            <w:r w:rsidRPr="00173C37">
              <w:rPr>
                <w:rFonts w:ascii="Times New Roman" w:eastAsia="標楷體" w:hAnsi="Times New Roman" w:cs="Times New Roman"/>
                <w:sz w:val="26"/>
                <w:szCs w:val="26"/>
                <w:lang w:eastAsia="zh-TW"/>
              </w:rPr>
              <w:t>/</w:t>
            </w:r>
            <w:r w:rsidRPr="00173C37">
              <w:rPr>
                <w:rFonts w:ascii="Times New Roman" w:eastAsia="標楷體" w:hAnsi="Times New Roman" w:cs="Times New Roman"/>
                <w:sz w:val="26"/>
                <w:szCs w:val="26"/>
                <w:lang w:eastAsia="zh-TW"/>
              </w:rPr>
              <w:t>秒地區者，須採用各地區之平均風速作為基本設計風速，並考量陣風反應因子（</w:t>
            </w:r>
            <w:r w:rsidRPr="00173C37">
              <w:rPr>
                <w:rFonts w:ascii="Times New Roman" w:eastAsia="標楷體" w:hAnsi="Times New Roman" w:cs="Times New Roman"/>
                <w:sz w:val="26"/>
                <w:szCs w:val="26"/>
                <w:lang w:eastAsia="zh-TW"/>
              </w:rPr>
              <w:t>G</w:t>
            </w:r>
            <w:r w:rsidRPr="00173C37">
              <w:rPr>
                <w:rFonts w:ascii="Times New Roman" w:eastAsia="標楷體" w:hAnsi="Times New Roman" w:cs="Times New Roman"/>
                <w:sz w:val="26"/>
                <w:szCs w:val="26"/>
                <w:lang w:eastAsia="zh-TW"/>
              </w:rPr>
              <w:t>），由專業技師分別提供結構計算書與各式連結</w:t>
            </w:r>
            <w:r w:rsidRPr="00173C37">
              <w:rPr>
                <w:rFonts w:ascii="Times New Roman" w:eastAsia="標楷體" w:hAnsi="Times New Roman" w:cs="Times New Roman"/>
                <w:sz w:val="26"/>
                <w:szCs w:val="26"/>
                <w:lang w:eastAsia="zh-TW"/>
              </w:rPr>
              <w:t>(Connection)</w:t>
            </w:r>
            <w:r w:rsidRPr="00173C37">
              <w:rPr>
                <w:rFonts w:ascii="Times New Roman" w:eastAsia="標楷體" w:hAnsi="Times New Roman" w:cs="Times New Roman"/>
                <w:sz w:val="26"/>
                <w:szCs w:val="26"/>
                <w:lang w:eastAsia="zh-TW"/>
              </w:rPr>
              <w:t>安全檢核文件。</w:t>
            </w:r>
          </w:p>
        </w:tc>
        <w:tc>
          <w:tcPr>
            <w:tcW w:w="1324" w:type="dxa"/>
            <w:vAlign w:val="center"/>
          </w:tcPr>
          <w:p w14:paraId="359A7B8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0282B694"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BA303E2"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60F15153" w14:textId="77777777" w:rsidTr="00012FF1">
        <w:trPr>
          <w:trHeight w:val="454"/>
        </w:trPr>
        <w:tc>
          <w:tcPr>
            <w:tcW w:w="0" w:type="auto"/>
            <w:vMerge/>
          </w:tcPr>
          <w:p w14:paraId="098F76DB"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5FCF6C8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6</w:t>
            </w:r>
          </w:p>
        </w:tc>
        <w:tc>
          <w:tcPr>
            <w:tcW w:w="0" w:type="auto"/>
            <w:vAlign w:val="center"/>
          </w:tcPr>
          <w:p w14:paraId="33843185"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結構設計是否依建築物耐風設計規範進行設計與檢核，其中用途係數（</w:t>
            </w:r>
            <w:r w:rsidRPr="00173C37">
              <w:rPr>
                <w:rFonts w:ascii="Times New Roman" w:eastAsia="標楷體" w:hAnsi="Times New Roman" w:cs="Times New Roman"/>
                <w:sz w:val="26"/>
                <w:szCs w:val="26"/>
              </w:rPr>
              <w:t>I</w:t>
            </w:r>
            <w:r w:rsidRPr="00173C37">
              <w:rPr>
                <w:rFonts w:ascii="Times New Roman" w:eastAsia="標楷體" w:hAnsi="Times New Roman" w:cs="Times New Roman"/>
                <w:sz w:val="26"/>
                <w:szCs w:val="26"/>
              </w:rPr>
              <w:t>），採</w:t>
            </w:r>
            <w:r w:rsidRPr="00173C37">
              <w:rPr>
                <w:rFonts w:ascii="Times New Roman" w:eastAsia="標楷體" w:hAnsi="Times New Roman" w:cs="Times New Roman"/>
                <w:sz w:val="26"/>
                <w:szCs w:val="26"/>
              </w:rPr>
              <w:t xml:space="preserve"> I=1.1</w:t>
            </w:r>
            <w:r w:rsidRPr="00173C37">
              <w:rPr>
                <w:rFonts w:ascii="Times New Roman" w:eastAsia="標楷體" w:hAnsi="Times New Roman" w:cs="Times New Roman"/>
                <w:sz w:val="26"/>
                <w:szCs w:val="26"/>
              </w:rPr>
              <w:t>（含）以上、陣風反應因子（</w:t>
            </w:r>
            <w:r w:rsidRPr="00173C37">
              <w:rPr>
                <w:rFonts w:ascii="Times New Roman" w:eastAsia="標楷體" w:hAnsi="Times New Roman" w:cs="Times New Roman"/>
                <w:sz w:val="26"/>
                <w:szCs w:val="26"/>
              </w:rPr>
              <w:t>G</w:t>
            </w:r>
            <w:r w:rsidRPr="00173C37">
              <w:rPr>
                <w:rFonts w:ascii="Times New Roman" w:eastAsia="標楷體" w:hAnsi="Times New Roman" w:cs="Times New Roman"/>
                <w:sz w:val="26"/>
                <w:szCs w:val="26"/>
              </w:rPr>
              <w:t>），採</w:t>
            </w:r>
            <w:r w:rsidRPr="00173C37">
              <w:rPr>
                <w:rFonts w:ascii="Times New Roman" w:eastAsia="標楷體" w:hAnsi="Times New Roman" w:cs="Times New Roman"/>
                <w:sz w:val="26"/>
                <w:szCs w:val="26"/>
              </w:rPr>
              <w:t>G=1.88</w:t>
            </w:r>
            <w:r w:rsidRPr="00173C37">
              <w:rPr>
                <w:rFonts w:ascii="Times New Roman" w:eastAsia="標楷體" w:hAnsi="Times New Roman" w:cs="Times New Roman"/>
                <w:sz w:val="26"/>
                <w:szCs w:val="26"/>
              </w:rPr>
              <w:t>（含）作為設計與計算基礎</w:t>
            </w:r>
          </w:p>
        </w:tc>
        <w:tc>
          <w:tcPr>
            <w:tcW w:w="1324" w:type="dxa"/>
            <w:vAlign w:val="center"/>
          </w:tcPr>
          <w:p w14:paraId="716C7C0D"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69DFFC86"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50E79FFB"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6AF92D2F" w14:textId="77777777" w:rsidTr="00012FF1">
        <w:trPr>
          <w:trHeight w:val="454"/>
        </w:trPr>
        <w:tc>
          <w:tcPr>
            <w:tcW w:w="0" w:type="auto"/>
            <w:vMerge/>
          </w:tcPr>
          <w:p w14:paraId="24C9C1A2"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6B162D94"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7</w:t>
            </w:r>
          </w:p>
        </w:tc>
        <w:tc>
          <w:tcPr>
            <w:tcW w:w="0" w:type="auto"/>
            <w:vAlign w:val="center"/>
          </w:tcPr>
          <w:p w14:paraId="4CDF7CC7"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結構設計應符合「建築物耐震設計規範及解說」之規定，其中用途係數（</w:t>
            </w:r>
            <w:r w:rsidRPr="00173C37">
              <w:rPr>
                <w:rFonts w:ascii="Times New Roman" w:eastAsia="標楷體" w:hAnsi="Times New Roman" w:cs="Times New Roman"/>
                <w:sz w:val="26"/>
                <w:szCs w:val="26"/>
              </w:rPr>
              <w:t>I</w:t>
            </w:r>
            <w:r w:rsidRPr="00173C37">
              <w:rPr>
                <w:rFonts w:ascii="Times New Roman" w:eastAsia="標楷體" w:hAnsi="Times New Roman" w:cs="Times New Roman"/>
                <w:sz w:val="26"/>
                <w:szCs w:val="26"/>
              </w:rPr>
              <w:t>），採</w:t>
            </w:r>
            <w:r w:rsidRPr="00173C37">
              <w:rPr>
                <w:rFonts w:ascii="Times New Roman" w:eastAsia="標楷體" w:hAnsi="Times New Roman" w:cs="Times New Roman"/>
                <w:sz w:val="26"/>
                <w:szCs w:val="26"/>
              </w:rPr>
              <w:t>I=1.25</w:t>
            </w:r>
            <w:r w:rsidRPr="00173C37">
              <w:rPr>
                <w:rFonts w:ascii="Times New Roman" w:eastAsia="標楷體" w:hAnsi="Times New Roman" w:cs="Times New Roman"/>
                <w:sz w:val="26"/>
                <w:szCs w:val="26"/>
              </w:rPr>
              <w:t>（含）以上作為設計與計算基礎</w:t>
            </w:r>
          </w:p>
        </w:tc>
        <w:tc>
          <w:tcPr>
            <w:tcW w:w="1324" w:type="dxa"/>
            <w:vAlign w:val="center"/>
          </w:tcPr>
          <w:p w14:paraId="34C2BB6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2D9D3C56"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4206CC3"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4E6376B" w14:textId="77777777" w:rsidTr="00012FF1">
        <w:trPr>
          <w:trHeight w:val="454"/>
        </w:trPr>
        <w:tc>
          <w:tcPr>
            <w:tcW w:w="0" w:type="auto"/>
            <w:vMerge/>
          </w:tcPr>
          <w:p w14:paraId="744754B0"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6F88E470"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8</w:t>
            </w:r>
          </w:p>
        </w:tc>
        <w:tc>
          <w:tcPr>
            <w:tcW w:w="0" w:type="auto"/>
            <w:vAlign w:val="center"/>
          </w:tcPr>
          <w:p w14:paraId="71B08A4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螺絲組（包含螺絲、螺帽、平華司與彈簧華司等）是否為同一材質，可為熱浸鍍鋅或電鍍鋅材質或不銹鋼材質等抗腐蝕材質，並取得抗腐蝕品質測試報告</w:t>
            </w:r>
          </w:p>
        </w:tc>
        <w:tc>
          <w:tcPr>
            <w:tcW w:w="1324" w:type="dxa"/>
            <w:vAlign w:val="center"/>
          </w:tcPr>
          <w:p w14:paraId="1CB6C8A6"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2B3C5AF4"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457A038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42CA8B1A" w14:textId="77777777" w:rsidTr="00012FF1">
        <w:trPr>
          <w:trHeight w:val="454"/>
        </w:trPr>
        <w:tc>
          <w:tcPr>
            <w:tcW w:w="0" w:type="auto"/>
            <w:vMerge/>
          </w:tcPr>
          <w:p w14:paraId="3EE8FADC"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0AEC8E7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9</w:t>
            </w:r>
          </w:p>
        </w:tc>
        <w:tc>
          <w:tcPr>
            <w:tcW w:w="0" w:type="auto"/>
            <w:vAlign w:val="center"/>
          </w:tcPr>
          <w:p w14:paraId="3022E63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每一構件連結螺絲組是否包含抗腐蝕螺絲、至少</w:t>
            </w:r>
            <w:r w:rsidRPr="00173C37">
              <w:rPr>
                <w:rFonts w:ascii="Times New Roman" w:eastAsia="標楷體" w:hAnsi="Times New Roman" w:cs="Times New Roman"/>
                <w:sz w:val="26"/>
                <w:szCs w:val="26"/>
              </w:rPr>
              <w:t xml:space="preserve"> 1 </w:t>
            </w:r>
            <w:r w:rsidRPr="00173C37">
              <w:rPr>
                <w:rFonts w:ascii="Times New Roman" w:eastAsia="標楷體" w:hAnsi="Times New Roman" w:cs="Times New Roman"/>
                <w:sz w:val="26"/>
                <w:szCs w:val="26"/>
              </w:rPr>
              <w:t>片彈簧華司、至少</w:t>
            </w:r>
            <w:r w:rsidRPr="00173C37">
              <w:rPr>
                <w:rFonts w:ascii="Times New Roman" w:eastAsia="標楷體" w:hAnsi="Times New Roman" w:cs="Times New Roman"/>
                <w:sz w:val="26"/>
                <w:szCs w:val="26"/>
              </w:rPr>
              <w:t xml:space="preserve"> 2 </w:t>
            </w:r>
            <w:r w:rsidRPr="00173C37">
              <w:rPr>
                <w:rFonts w:ascii="Times New Roman" w:eastAsia="標楷體" w:hAnsi="Times New Roman" w:cs="Times New Roman"/>
                <w:sz w:val="26"/>
                <w:szCs w:val="26"/>
              </w:rPr>
              <w:t>片平板華司、至少</w:t>
            </w:r>
            <w:r w:rsidRPr="00173C37">
              <w:rPr>
                <w:rFonts w:ascii="Times New Roman" w:eastAsia="標楷體" w:hAnsi="Times New Roman" w:cs="Times New Roman"/>
                <w:sz w:val="26"/>
                <w:szCs w:val="26"/>
              </w:rPr>
              <w:t xml:space="preserve"> 1 </w:t>
            </w:r>
            <w:r w:rsidRPr="00173C37">
              <w:rPr>
                <w:rFonts w:ascii="Times New Roman" w:eastAsia="標楷體" w:hAnsi="Times New Roman" w:cs="Times New Roman"/>
                <w:sz w:val="26"/>
                <w:szCs w:val="26"/>
              </w:rPr>
              <w:t>個抗腐蝕六角螺帽以及於六角螺帽上再套上</w:t>
            </w:r>
            <w:r w:rsidRPr="00173C37">
              <w:rPr>
                <w:rFonts w:ascii="Times New Roman" w:eastAsia="標楷體" w:hAnsi="Times New Roman" w:cs="Times New Roman"/>
                <w:sz w:val="26"/>
                <w:szCs w:val="26"/>
              </w:rPr>
              <w:t xml:space="preserve"> 1 </w:t>
            </w:r>
            <w:r w:rsidRPr="00173C37">
              <w:rPr>
                <w:rFonts w:ascii="Times New Roman" w:eastAsia="標楷體" w:hAnsi="Times New Roman" w:cs="Times New Roman"/>
                <w:sz w:val="26"/>
                <w:szCs w:val="26"/>
              </w:rPr>
              <w:t>個抗腐蝕六角蓋型螺帽</w:t>
            </w:r>
          </w:p>
        </w:tc>
        <w:tc>
          <w:tcPr>
            <w:tcW w:w="1324" w:type="dxa"/>
            <w:vAlign w:val="center"/>
          </w:tcPr>
          <w:p w14:paraId="45E79F08"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61CCCCD2"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8DA891B"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CD2A251" w14:textId="77777777" w:rsidTr="00012FF1">
        <w:trPr>
          <w:trHeight w:val="454"/>
        </w:trPr>
        <w:tc>
          <w:tcPr>
            <w:tcW w:w="0" w:type="auto"/>
            <w:vMerge w:val="restart"/>
            <w:vAlign w:val="center"/>
          </w:tcPr>
          <w:p w14:paraId="6F474A6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支撐架金屬基材耐腐蝕性能</w:t>
            </w:r>
          </w:p>
        </w:tc>
        <w:tc>
          <w:tcPr>
            <w:tcW w:w="0" w:type="auto"/>
            <w:vAlign w:val="center"/>
          </w:tcPr>
          <w:p w14:paraId="1CFEF33E"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1</w:t>
            </w:r>
          </w:p>
        </w:tc>
        <w:tc>
          <w:tcPr>
            <w:tcW w:w="0" w:type="auto"/>
            <w:vAlign w:val="center"/>
          </w:tcPr>
          <w:p w14:paraId="7BC65B79"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支撐架材質的選擇，下列兩項選擇：</w:t>
            </w:r>
          </w:p>
          <w:p w14:paraId="03B03BE1" w14:textId="77777777" w:rsidR="005E4A21" w:rsidRPr="00173C37" w:rsidRDefault="005E4A21" w:rsidP="00167AC5">
            <w:pPr>
              <w:pStyle w:val="a3"/>
              <w:numPr>
                <w:ilvl w:val="0"/>
                <w:numId w:val="2"/>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若採用鋼構基材，應為一般結構用鋼材（如</w:t>
            </w:r>
            <w:r w:rsidRPr="00173C37">
              <w:rPr>
                <w:rFonts w:ascii="Times New Roman" w:eastAsia="標楷體" w:hAnsi="Times New Roman" w:cs="Times New Roman"/>
                <w:sz w:val="26"/>
                <w:szCs w:val="26"/>
              </w:rPr>
              <w:t xml:space="preserve"> ASTM A709</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ASTM A36</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 xml:space="preserve">A572 </w:t>
            </w:r>
            <w:r w:rsidRPr="00173C37">
              <w:rPr>
                <w:rFonts w:ascii="Times New Roman" w:eastAsia="標楷體" w:hAnsi="Times New Roman" w:cs="Times New Roman"/>
                <w:sz w:val="26"/>
                <w:szCs w:val="26"/>
              </w:rPr>
              <w:t>等）或冷軋鋼構材外加表面防蝕處理，或耐候鋼材（如</w:t>
            </w:r>
            <w:r w:rsidRPr="00173C37">
              <w:rPr>
                <w:rFonts w:ascii="Times New Roman" w:eastAsia="標楷體" w:hAnsi="Times New Roman" w:cs="Times New Roman"/>
                <w:sz w:val="26"/>
                <w:szCs w:val="26"/>
              </w:rPr>
              <w:t xml:space="preserve"> ASTM A588</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CNS 4620</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JIS G3114</w:t>
            </w:r>
            <w:r w:rsidRPr="00173C37">
              <w:rPr>
                <w:rFonts w:ascii="Times New Roman" w:eastAsia="標楷體" w:hAnsi="Times New Roman" w:cs="Times New Roman"/>
                <w:sz w:val="26"/>
                <w:szCs w:val="26"/>
              </w:rPr>
              <w:t>等）</w:t>
            </w:r>
          </w:p>
          <w:p w14:paraId="1AF5D13A" w14:textId="77777777" w:rsidR="005E4A21" w:rsidRPr="00173C37" w:rsidRDefault="005E4A21" w:rsidP="00167AC5">
            <w:pPr>
              <w:pStyle w:val="a3"/>
              <w:numPr>
                <w:ilvl w:val="0"/>
                <w:numId w:val="2"/>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若採用鋁合金鋁擠型基材，其鋁合金材質應為</w:t>
            </w:r>
            <w:r w:rsidRPr="00173C37">
              <w:rPr>
                <w:rFonts w:ascii="Times New Roman" w:eastAsia="標楷體" w:hAnsi="Times New Roman" w:cs="Times New Roman"/>
                <w:sz w:val="26"/>
                <w:szCs w:val="26"/>
              </w:rPr>
              <w:t>6005T5</w:t>
            </w:r>
            <w:r w:rsidRPr="00173C37">
              <w:rPr>
                <w:rFonts w:ascii="Times New Roman" w:eastAsia="標楷體" w:hAnsi="Times New Roman" w:cs="Times New Roman"/>
                <w:sz w:val="26"/>
                <w:szCs w:val="26"/>
              </w:rPr>
              <w:t>或</w:t>
            </w:r>
            <w:r w:rsidRPr="00173C37">
              <w:rPr>
                <w:rFonts w:ascii="Times New Roman" w:eastAsia="標楷體" w:hAnsi="Times New Roman" w:cs="Times New Roman"/>
                <w:sz w:val="26"/>
                <w:szCs w:val="26"/>
              </w:rPr>
              <w:t>6001T6</w:t>
            </w:r>
            <w:r w:rsidRPr="00173C37">
              <w:rPr>
                <w:rFonts w:ascii="Times New Roman" w:eastAsia="標楷體" w:hAnsi="Times New Roman" w:cs="Times New Roman"/>
                <w:sz w:val="26"/>
                <w:szCs w:val="26"/>
              </w:rPr>
              <w:t>以上之等級，並須符合結構安全要求</w:t>
            </w:r>
          </w:p>
        </w:tc>
        <w:tc>
          <w:tcPr>
            <w:tcW w:w="1324" w:type="dxa"/>
            <w:vAlign w:val="center"/>
          </w:tcPr>
          <w:p w14:paraId="6368512B"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3FEDA2E"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5304DE5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1919A91A" w14:textId="77777777" w:rsidTr="00012FF1">
        <w:trPr>
          <w:trHeight w:val="454"/>
        </w:trPr>
        <w:tc>
          <w:tcPr>
            <w:tcW w:w="0" w:type="auto"/>
            <w:vMerge/>
          </w:tcPr>
          <w:p w14:paraId="37AA0127"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0FFAF53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299EBDE3"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支撐架表面處理的選擇，下列兩項處理方式：</w:t>
            </w:r>
          </w:p>
          <w:p w14:paraId="49E7850E" w14:textId="77777777" w:rsidR="005E4A21" w:rsidRPr="00173C37" w:rsidRDefault="005E4A21" w:rsidP="00167AC5">
            <w:pPr>
              <w:pStyle w:val="a3"/>
              <w:numPr>
                <w:ilvl w:val="0"/>
                <w:numId w:val="1"/>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u w:val="single"/>
              </w:rPr>
              <w:t>鋼構</w:t>
            </w:r>
            <w:r w:rsidRPr="00173C37">
              <w:rPr>
                <w:rFonts w:ascii="Times New Roman" w:eastAsia="標楷體" w:hAnsi="Times New Roman" w:cs="Times New Roman"/>
                <w:sz w:val="26"/>
                <w:szCs w:val="26"/>
              </w:rPr>
              <w:t>基材表面處理，須以設置地點符合</w:t>
            </w:r>
            <w:r w:rsidRPr="00173C37">
              <w:rPr>
                <w:rFonts w:ascii="Times New Roman" w:eastAsia="標楷體" w:hAnsi="Times New Roman" w:cs="Times New Roman"/>
                <w:sz w:val="26"/>
                <w:szCs w:val="26"/>
              </w:rPr>
              <w:t xml:space="preserve"> ISO  9223 </w:t>
            </w:r>
            <w:r w:rsidRPr="00173C37">
              <w:rPr>
                <w:rFonts w:ascii="Times New Roman" w:eastAsia="標楷體" w:hAnsi="Times New Roman" w:cs="Times New Roman"/>
                <w:sz w:val="26"/>
                <w:szCs w:val="26"/>
              </w:rPr>
              <w:t>之腐蝕環境分類等級，且至少以中度腐蝕（</w:t>
            </w:r>
            <w:r w:rsidRPr="00173C37">
              <w:rPr>
                <w:rFonts w:ascii="Times New Roman" w:eastAsia="標楷體" w:hAnsi="Times New Roman" w:cs="Times New Roman"/>
                <w:sz w:val="26"/>
                <w:szCs w:val="26"/>
              </w:rPr>
              <w:t>ISO  9223-C3)</w:t>
            </w:r>
            <w:r w:rsidRPr="00173C37">
              <w:rPr>
                <w:rFonts w:ascii="Times New Roman" w:eastAsia="標楷體" w:hAnsi="Times New Roman" w:cs="Times New Roman"/>
                <w:sz w:val="26"/>
                <w:szCs w:val="26"/>
              </w:rPr>
              <w:t>等級以上為處理基準，並以</w:t>
            </w:r>
            <w:r w:rsidRPr="00173C37">
              <w:rPr>
                <w:rFonts w:ascii="Times New Roman" w:eastAsia="標楷體" w:hAnsi="Times New Roman" w:cs="Times New Roman"/>
                <w:sz w:val="26"/>
                <w:szCs w:val="26"/>
              </w:rPr>
              <w:t xml:space="preserve"> 20 </w:t>
            </w:r>
            <w:r w:rsidRPr="00173C37">
              <w:rPr>
                <w:rFonts w:ascii="Times New Roman" w:eastAsia="標楷體" w:hAnsi="Times New Roman" w:cs="Times New Roman"/>
                <w:sz w:val="26"/>
                <w:szCs w:val="26"/>
              </w:rPr>
              <w:t>年（含）以上抗腐蝕性能進行表面處理，並由專業機構提出施作說明與品質保證證明</w:t>
            </w:r>
          </w:p>
          <w:p w14:paraId="51E850E3" w14:textId="77777777" w:rsidR="005E4A21" w:rsidRPr="00173C37" w:rsidRDefault="005E4A21" w:rsidP="00167AC5">
            <w:pPr>
              <w:pStyle w:val="a3"/>
              <w:numPr>
                <w:ilvl w:val="0"/>
                <w:numId w:val="1"/>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鋁合</w:t>
            </w:r>
            <w:r w:rsidRPr="00173C37">
              <w:rPr>
                <w:rFonts w:ascii="Times New Roman" w:eastAsia="標楷體" w:hAnsi="Times New Roman" w:cs="Times New Roman"/>
                <w:sz w:val="26"/>
                <w:szCs w:val="26"/>
                <w:u w:val="single"/>
              </w:rPr>
              <w:t>金鋁擠型</w:t>
            </w:r>
            <w:r w:rsidRPr="00173C37">
              <w:rPr>
                <w:rFonts w:ascii="Times New Roman" w:eastAsia="標楷體" w:hAnsi="Times New Roman" w:cs="Times New Roman"/>
                <w:sz w:val="26"/>
                <w:szCs w:val="26"/>
              </w:rPr>
              <w:t>基材表面處理，其表面處理方式採陽極處理厚度</w:t>
            </w:r>
            <w:r w:rsidRPr="00173C37">
              <w:rPr>
                <w:rFonts w:ascii="Times New Roman" w:eastAsia="標楷體" w:hAnsi="Times New Roman" w:cs="Times New Roman"/>
                <w:sz w:val="26"/>
                <w:szCs w:val="26"/>
              </w:rPr>
              <w:t xml:space="preserve"> 14µm </w:t>
            </w:r>
            <w:r w:rsidRPr="00173C37">
              <w:rPr>
                <w:rFonts w:ascii="Times New Roman" w:eastAsia="標楷體" w:hAnsi="Times New Roman" w:cs="Times New Roman"/>
                <w:sz w:val="26"/>
                <w:szCs w:val="26"/>
              </w:rPr>
              <w:t>以上及外加一層膜厚</w:t>
            </w:r>
            <w:r w:rsidRPr="00173C37">
              <w:rPr>
                <w:rFonts w:ascii="Times New Roman" w:eastAsia="標楷體" w:hAnsi="Times New Roman" w:cs="Times New Roman"/>
                <w:sz w:val="26"/>
                <w:szCs w:val="26"/>
              </w:rPr>
              <w:t xml:space="preserve"> 7µm </w:t>
            </w:r>
            <w:r w:rsidRPr="00173C37">
              <w:rPr>
                <w:rFonts w:ascii="Times New Roman" w:eastAsia="標楷體" w:hAnsi="Times New Roman" w:cs="Times New Roman"/>
                <w:sz w:val="26"/>
                <w:szCs w:val="26"/>
              </w:rPr>
              <w:t>以上之壓克力透明漆之表面</w:t>
            </w:r>
            <w:r w:rsidRPr="00173C37">
              <w:rPr>
                <w:rFonts w:ascii="Times New Roman" w:eastAsia="標楷體" w:hAnsi="Times New Roman" w:cs="Times New Roman"/>
                <w:sz w:val="26"/>
                <w:szCs w:val="26"/>
              </w:rPr>
              <w:lastRenderedPageBreak/>
              <w:t>防蝕處理，除鋁擠型構材外的鋁合金板、小配件等之表面處理方式可為陽極處理厚度</w:t>
            </w:r>
            <w:r w:rsidRPr="00173C37">
              <w:rPr>
                <w:rFonts w:ascii="Times New Roman" w:eastAsia="標楷體" w:hAnsi="Times New Roman" w:cs="Times New Roman"/>
                <w:sz w:val="26"/>
                <w:szCs w:val="26"/>
              </w:rPr>
              <w:t xml:space="preserve"> 7µm </w:t>
            </w:r>
            <w:r w:rsidRPr="00173C37">
              <w:rPr>
                <w:rFonts w:ascii="Times New Roman" w:eastAsia="標楷體" w:hAnsi="Times New Roman" w:cs="Times New Roman"/>
                <w:sz w:val="26"/>
                <w:szCs w:val="26"/>
              </w:rPr>
              <w:t>以上及外加一層膜厚</w:t>
            </w:r>
            <w:r w:rsidRPr="00173C37">
              <w:rPr>
                <w:rFonts w:ascii="Times New Roman" w:eastAsia="標楷體" w:hAnsi="Times New Roman" w:cs="Times New Roman"/>
                <w:sz w:val="26"/>
                <w:szCs w:val="26"/>
              </w:rPr>
              <w:t xml:space="preserve"> 7µm </w:t>
            </w:r>
            <w:r w:rsidRPr="00173C37">
              <w:rPr>
                <w:rFonts w:ascii="Times New Roman" w:eastAsia="標楷體" w:hAnsi="Times New Roman" w:cs="Times New Roman"/>
                <w:sz w:val="26"/>
                <w:szCs w:val="26"/>
              </w:rPr>
              <w:t>以上之壓克力透明漆，且皆需取得具有</w:t>
            </w:r>
            <w:r w:rsidRPr="00173C37">
              <w:rPr>
                <w:rFonts w:ascii="Times New Roman" w:eastAsia="標楷體" w:hAnsi="Times New Roman" w:cs="Times New Roman"/>
                <w:sz w:val="26"/>
                <w:szCs w:val="26"/>
              </w:rPr>
              <w:t xml:space="preserve"> TAF </w:t>
            </w:r>
            <w:r w:rsidRPr="00173C37">
              <w:rPr>
                <w:rFonts w:ascii="Times New Roman" w:eastAsia="標楷體" w:hAnsi="Times New Roman" w:cs="Times New Roman"/>
                <w:sz w:val="26"/>
                <w:szCs w:val="26"/>
              </w:rPr>
              <w:t>認可之測試實驗室測試合格報告</w:t>
            </w:r>
          </w:p>
        </w:tc>
        <w:tc>
          <w:tcPr>
            <w:tcW w:w="1324" w:type="dxa"/>
            <w:vAlign w:val="center"/>
          </w:tcPr>
          <w:p w14:paraId="5873F665"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lastRenderedPageBreak/>
              <w:t>是</w:t>
            </w:r>
            <w:r w:rsidRPr="00173C37">
              <w:rPr>
                <w:rFonts w:ascii="標楷體" w:eastAsia="標楷體" w:hAnsi="標楷體" w:cs="Times New Roman" w:hint="eastAsia"/>
                <w:color w:val="000000" w:themeColor="text1"/>
                <w:sz w:val="26"/>
                <w:szCs w:val="26"/>
              </w:rPr>
              <w:t>□</w:t>
            </w:r>
          </w:p>
          <w:p w14:paraId="73C06A0A"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37B0EA4F"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446D4C6A" w14:textId="77777777" w:rsidTr="00012FF1">
        <w:trPr>
          <w:trHeight w:val="454"/>
        </w:trPr>
        <w:tc>
          <w:tcPr>
            <w:tcW w:w="0" w:type="auto"/>
            <w:vMerge/>
          </w:tcPr>
          <w:p w14:paraId="0878FA1A"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241F7F01"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67580EBF" w14:textId="77777777" w:rsidR="005E4A21" w:rsidRPr="00173C37" w:rsidRDefault="005E4A21" w:rsidP="00167AC5">
            <w:pPr>
              <w:pStyle w:val="a5"/>
              <w:overflowPunct w:val="0"/>
              <w:spacing w:line="400" w:lineRule="exact"/>
              <w:ind w:left="0"/>
              <w:jc w:val="both"/>
              <w:rPr>
                <w:rFonts w:ascii="Times New Roman" w:eastAsia="標楷體" w:hAnsi="Times New Roman" w:cs="Times New Roman"/>
                <w:kern w:val="2"/>
                <w:sz w:val="26"/>
                <w:szCs w:val="26"/>
                <w:lang w:eastAsia="zh-TW"/>
              </w:rPr>
            </w:pPr>
            <w:r w:rsidRPr="00173C37">
              <w:rPr>
                <w:rFonts w:ascii="Times New Roman" w:eastAsia="標楷體" w:hAnsi="Times New Roman" w:cs="Times New Roman"/>
                <w:kern w:val="2"/>
                <w:sz w:val="26"/>
                <w:szCs w:val="26"/>
                <w:lang w:eastAsia="zh-TW"/>
              </w:rPr>
              <w:t>依</w:t>
            </w:r>
            <w:r w:rsidRPr="00173C37">
              <w:rPr>
                <w:rFonts w:ascii="Times New Roman" w:eastAsia="標楷體" w:hAnsi="Times New Roman" w:cs="Times New Roman"/>
                <w:kern w:val="2"/>
                <w:sz w:val="26"/>
                <w:szCs w:val="26"/>
                <w:lang w:eastAsia="zh-TW"/>
              </w:rPr>
              <w:t>ISO 9224</w:t>
            </w:r>
            <w:r w:rsidRPr="00173C37">
              <w:rPr>
                <w:rFonts w:ascii="Times New Roman" w:eastAsia="標楷體" w:hAnsi="Times New Roman" w:cs="Times New Roman"/>
                <w:kern w:val="2"/>
                <w:sz w:val="26"/>
                <w:szCs w:val="26"/>
                <w:lang w:eastAsia="zh-TW"/>
              </w:rPr>
              <w:t>金屬材質的腐蝕速率進行防蝕設計，惟至少應以中度腐蝕（</w:t>
            </w:r>
            <w:r w:rsidRPr="00173C37">
              <w:rPr>
                <w:rFonts w:ascii="Times New Roman" w:eastAsia="標楷體" w:hAnsi="Times New Roman" w:cs="Times New Roman"/>
                <w:kern w:val="2"/>
                <w:sz w:val="26"/>
                <w:szCs w:val="26"/>
                <w:lang w:eastAsia="zh-TW"/>
              </w:rPr>
              <w:t>ISO 9223-C3</w:t>
            </w:r>
            <w:r w:rsidRPr="00173C37">
              <w:rPr>
                <w:rFonts w:ascii="Times New Roman" w:eastAsia="標楷體" w:hAnsi="Times New Roman" w:cs="Times New Roman"/>
                <w:kern w:val="2"/>
                <w:sz w:val="26"/>
                <w:szCs w:val="26"/>
                <w:lang w:eastAsia="zh-TW"/>
              </w:rPr>
              <w:t>）等級以上的腐蝕環境</w:t>
            </w:r>
            <w:r w:rsidRPr="00173C37">
              <w:rPr>
                <w:rFonts w:ascii="Times New Roman" w:eastAsia="標楷體" w:hAnsi="Times New Roman" w:cs="Times New Roman" w:hint="eastAsia"/>
                <w:kern w:val="2"/>
                <w:sz w:val="26"/>
                <w:szCs w:val="26"/>
                <w:lang w:eastAsia="zh-TW"/>
              </w:rPr>
              <w:t>進行</w:t>
            </w:r>
            <w:r w:rsidRPr="00173C37">
              <w:rPr>
                <w:rFonts w:ascii="Times New Roman" w:eastAsia="標楷體" w:hAnsi="Times New Roman" w:cs="Times New Roman"/>
                <w:kern w:val="2"/>
                <w:sz w:val="26"/>
                <w:szCs w:val="26"/>
                <w:lang w:eastAsia="zh-TW"/>
              </w:rPr>
              <w:t>設計</w:t>
            </w:r>
            <w:r w:rsidRPr="00173C37">
              <w:rPr>
                <w:rFonts w:ascii="Times New Roman" w:eastAsia="標楷體" w:hAnsi="Times New Roman" w:cs="Times New Roman" w:hint="eastAsia"/>
                <w:kern w:val="2"/>
                <w:sz w:val="26"/>
                <w:szCs w:val="26"/>
                <w:lang w:eastAsia="zh-TW"/>
              </w:rPr>
              <w:t>，由專業機構提出說明與品保證明，若縣市</w:t>
            </w:r>
            <w:r w:rsidRPr="00173C37">
              <w:rPr>
                <w:rFonts w:ascii="Times New Roman" w:eastAsia="標楷體" w:hAnsi="Times New Roman" w:cs="Times New Roman" w:hint="eastAsia"/>
                <w:kern w:val="2"/>
                <w:sz w:val="26"/>
                <w:szCs w:val="26"/>
                <w:lang w:eastAsia="zh-TW"/>
              </w:rPr>
              <w:t>/</w:t>
            </w:r>
            <w:r w:rsidRPr="00173C37">
              <w:rPr>
                <w:rFonts w:ascii="Times New Roman" w:eastAsia="標楷體" w:hAnsi="Times New Roman" w:cs="Times New Roman" w:hint="eastAsia"/>
                <w:kern w:val="2"/>
                <w:sz w:val="26"/>
                <w:szCs w:val="26"/>
                <w:lang w:eastAsia="zh-TW"/>
              </w:rPr>
              <w:t>學校處於</w:t>
            </w:r>
            <w:r w:rsidRPr="00173C37">
              <w:rPr>
                <w:rFonts w:ascii="Times New Roman" w:eastAsia="標楷體" w:hAnsi="Times New Roman" w:cs="Times New Roman" w:hint="eastAsia"/>
                <w:kern w:val="2"/>
                <w:sz w:val="26"/>
                <w:szCs w:val="26"/>
                <w:lang w:eastAsia="zh-TW"/>
              </w:rPr>
              <w:t>C3</w:t>
            </w:r>
            <w:r w:rsidRPr="00173C37">
              <w:rPr>
                <w:rFonts w:ascii="Times New Roman" w:eastAsia="標楷體" w:hAnsi="Times New Roman" w:cs="Times New Roman" w:hint="eastAsia"/>
                <w:kern w:val="2"/>
                <w:sz w:val="26"/>
                <w:szCs w:val="26"/>
                <w:lang w:eastAsia="zh-TW"/>
              </w:rPr>
              <w:t>腐蝕環境以上之等級，可參考臺灣腐蝕環境分類資訊系統</w:t>
            </w:r>
            <w:r w:rsidRPr="00173C37">
              <w:rPr>
                <w:rFonts w:ascii="Times New Roman" w:eastAsia="標楷體" w:hAnsi="Times New Roman" w:cs="Times New Roman" w:hint="eastAsia"/>
                <w:kern w:val="2"/>
                <w:sz w:val="26"/>
                <w:szCs w:val="26"/>
                <w:lang w:eastAsia="zh-TW"/>
              </w:rPr>
              <w:t>/</w:t>
            </w:r>
            <w:r w:rsidRPr="00173C37">
              <w:rPr>
                <w:rFonts w:ascii="Times New Roman" w:eastAsia="標楷體" w:hAnsi="Times New Roman" w:cs="Times New Roman" w:hint="eastAsia"/>
                <w:kern w:val="2"/>
                <w:sz w:val="26"/>
                <w:szCs w:val="26"/>
                <w:lang w:eastAsia="zh-TW"/>
              </w:rPr>
              <w:t>大氣腐蝕年報表，進行防腐蝕評估。</w:t>
            </w:r>
          </w:p>
        </w:tc>
        <w:tc>
          <w:tcPr>
            <w:tcW w:w="1324" w:type="dxa"/>
            <w:vAlign w:val="center"/>
          </w:tcPr>
          <w:p w14:paraId="383A96DF"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ABAA88D" w14:textId="77777777" w:rsidR="005E4A21" w:rsidRPr="00173C37" w:rsidRDefault="00A709C5" w:rsidP="00012FF1">
            <w:pPr>
              <w:pStyle w:val="a5"/>
              <w:overflowPunct w:val="0"/>
              <w:spacing w:line="400" w:lineRule="exact"/>
              <w:ind w:left="0"/>
              <w:jc w:val="center"/>
              <w:rPr>
                <w:rFonts w:ascii="Times New Roman" w:eastAsia="標楷體" w:hAnsi="Times New Roman" w:cs="Times New Roman"/>
                <w:kern w:val="2"/>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5E10443" w14:textId="77777777" w:rsidR="005E4A21" w:rsidRPr="00173C37" w:rsidRDefault="005E4A21" w:rsidP="00167AC5">
            <w:pPr>
              <w:pStyle w:val="a5"/>
              <w:overflowPunct w:val="0"/>
              <w:spacing w:line="400" w:lineRule="exact"/>
              <w:ind w:left="0"/>
              <w:jc w:val="both"/>
              <w:rPr>
                <w:rFonts w:ascii="Times New Roman" w:eastAsia="標楷體" w:hAnsi="Times New Roman" w:cs="Times New Roman"/>
                <w:kern w:val="2"/>
                <w:sz w:val="26"/>
                <w:szCs w:val="26"/>
                <w:lang w:eastAsia="zh-TW"/>
              </w:rPr>
            </w:pPr>
          </w:p>
        </w:tc>
      </w:tr>
      <w:tr w:rsidR="005E4A21" w:rsidRPr="00A243C7" w14:paraId="21818E41" w14:textId="77777777" w:rsidTr="00012FF1">
        <w:trPr>
          <w:trHeight w:val="454"/>
        </w:trPr>
        <w:tc>
          <w:tcPr>
            <w:tcW w:w="0" w:type="auto"/>
            <w:vMerge w:val="restart"/>
            <w:vAlign w:val="center"/>
          </w:tcPr>
          <w:p w14:paraId="301962B0" w14:textId="77777777" w:rsidR="005E4A21" w:rsidRPr="00173C37" w:rsidRDefault="005E4A21" w:rsidP="00167AC5">
            <w:pPr>
              <w:spacing w:line="400" w:lineRule="exact"/>
              <w:rPr>
                <w:rFonts w:ascii="Times New Roman" w:eastAsia="標楷體" w:hAnsi="Times New Roman" w:cs="Times New Roman"/>
                <w:sz w:val="26"/>
                <w:szCs w:val="26"/>
              </w:rPr>
            </w:pPr>
            <w:r w:rsidRPr="00173C37">
              <w:rPr>
                <w:rFonts w:ascii="Times New Roman" w:eastAsia="標楷體" w:hAnsi="Times New Roman" w:cs="Times New Roman"/>
                <w:sz w:val="26"/>
                <w:szCs w:val="26"/>
              </w:rPr>
              <w:t>太陽光電模組</w:t>
            </w:r>
          </w:p>
        </w:tc>
        <w:tc>
          <w:tcPr>
            <w:tcW w:w="0" w:type="auto"/>
            <w:vAlign w:val="center"/>
          </w:tcPr>
          <w:p w14:paraId="58EBCE2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1</w:t>
            </w:r>
          </w:p>
        </w:tc>
        <w:tc>
          <w:tcPr>
            <w:tcW w:w="0" w:type="auto"/>
            <w:vAlign w:val="center"/>
          </w:tcPr>
          <w:p w14:paraId="6950B4A9"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太陽光電模組產品須全數符合經濟部標檢局「台灣高效能太陽光電模組技術規範」自願性產品驗證及通過「太陽光電自願性產品驗證工廠檢查特定規範」</w:t>
            </w:r>
          </w:p>
        </w:tc>
        <w:tc>
          <w:tcPr>
            <w:tcW w:w="1324" w:type="dxa"/>
            <w:vAlign w:val="center"/>
          </w:tcPr>
          <w:p w14:paraId="582FB952"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9E55748"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E522C7D"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0C01D4C4" w14:textId="77777777" w:rsidTr="00012FF1">
        <w:trPr>
          <w:trHeight w:val="454"/>
        </w:trPr>
        <w:tc>
          <w:tcPr>
            <w:tcW w:w="0" w:type="auto"/>
            <w:vMerge/>
          </w:tcPr>
          <w:p w14:paraId="023B1B19"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308B4C80"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6B0289BD"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系統規格要求根據「用戶用電設備裝置規則」內太陽能系統專章。</w:t>
            </w:r>
            <w:r w:rsidRPr="00173C37">
              <w:rPr>
                <w:rFonts w:ascii="Times New Roman" w:eastAsia="標楷體" w:hAnsi="Times New Roman" w:cs="Times New Roman"/>
                <w:kern w:val="2"/>
                <w:sz w:val="26"/>
                <w:szCs w:val="26"/>
              </w:rPr>
              <w:t>並另提出電機工程技師簽證。</w:t>
            </w:r>
          </w:p>
        </w:tc>
        <w:tc>
          <w:tcPr>
            <w:tcW w:w="1324" w:type="dxa"/>
            <w:vAlign w:val="center"/>
          </w:tcPr>
          <w:p w14:paraId="5B6B1431"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5F27172"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30F6ED7E"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0526B21" w14:textId="77777777" w:rsidTr="00012FF1">
        <w:trPr>
          <w:trHeight w:val="454"/>
        </w:trPr>
        <w:tc>
          <w:tcPr>
            <w:tcW w:w="0" w:type="auto"/>
            <w:vMerge/>
          </w:tcPr>
          <w:p w14:paraId="3D4C1C73"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2BEC38ED"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2050AB13"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太陽光電模組鋁框與鋼構材接觸位置是否加裝鐵氟龍絕緣墊片以隔開二者，避免產生電位差腐蝕</w:t>
            </w:r>
          </w:p>
        </w:tc>
        <w:tc>
          <w:tcPr>
            <w:tcW w:w="1324" w:type="dxa"/>
            <w:vAlign w:val="center"/>
          </w:tcPr>
          <w:p w14:paraId="51BFBC9C"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43B39C2A"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5C7ADBE3"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6D0DE2F0" w14:textId="77777777" w:rsidTr="00012FF1">
        <w:trPr>
          <w:trHeight w:val="454"/>
        </w:trPr>
        <w:tc>
          <w:tcPr>
            <w:tcW w:w="0" w:type="auto"/>
            <w:vMerge/>
          </w:tcPr>
          <w:p w14:paraId="24E4BEC3"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7676F65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4</w:t>
            </w:r>
          </w:p>
        </w:tc>
        <w:tc>
          <w:tcPr>
            <w:tcW w:w="0" w:type="auto"/>
            <w:vAlign w:val="center"/>
          </w:tcPr>
          <w:p w14:paraId="4CD6181D"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螺絲組與太陽光電模組鋁框接觸處之平板華司下方應再加裝鐵氟龍絕緣墊片以隔開螺絲組及模組鋁框</w:t>
            </w:r>
          </w:p>
        </w:tc>
        <w:tc>
          <w:tcPr>
            <w:tcW w:w="1324" w:type="dxa"/>
            <w:vAlign w:val="center"/>
          </w:tcPr>
          <w:p w14:paraId="4C67F191"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4AAB2A22"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37C27C1"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09A9999A" w14:textId="77777777" w:rsidTr="00012FF1">
        <w:trPr>
          <w:trHeight w:val="2000"/>
        </w:trPr>
        <w:tc>
          <w:tcPr>
            <w:tcW w:w="0" w:type="auto"/>
            <w:vMerge/>
          </w:tcPr>
          <w:p w14:paraId="48C80A7F"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3D4786F9"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5</w:t>
            </w:r>
          </w:p>
        </w:tc>
        <w:tc>
          <w:tcPr>
            <w:tcW w:w="0" w:type="auto"/>
            <w:vAlign w:val="center"/>
          </w:tcPr>
          <w:p w14:paraId="7C11DA51"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單一模組與支撐架正面連結（上扣）及背部連結（下鎖）的固定組件共計需</w:t>
            </w:r>
            <w:r w:rsidRPr="00173C37">
              <w:rPr>
                <w:rFonts w:ascii="Times New Roman" w:eastAsia="標楷體" w:hAnsi="Times New Roman" w:cs="Times New Roman" w:hint="eastAsia"/>
                <w:sz w:val="26"/>
                <w:szCs w:val="26"/>
              </w:rPr>
              <w:t>8</w:t>
            </w:r>
            <w:r w:rsidRPr="00173C37">
              <w:rPr>
                <w:rFonts w:ascii="Times New Roman" w:eastAsia="標楷體" w:hAnsi="Times New Roman" w:cs="Times New Roman" w:hint="eastAsia"/>
                <w:sz w:val="26"/>
                <w:szCs w:val="26"/>
              </w:rPr>
              <w:t>個點以上。如太陽能光電模組距離屋頂面最高高度超過</w:t>
            </w:r>
            <w:r w:rsidRPr="00173C37">
              <w:rPr>
                <w:rFonts w:ascii="Times New Roman" w:eastAsia="標楷體" w:hAnsi="Times New Roman" w:cs="Times New Roman" w:hint="eastAsia"/>
                <w:sz w:val="26"/>
                <w:szCs w:val="26"/>
              </w:rPr>
              <w:t>0.3</w:t>
            </w:r>
            <w:r w:rsidRPr="00173C37">
              <w:rPr>
                <w:rFonts w:ascii="Times New Roman" w:eastAsia="標楷體" w:hAnsi="Times New Roman" w:cs="Times New Roman" w:hint="eastAsia"/>
                <w:sz w:val="26"/>
                <w:szCs w:val="26"/>
              </w:rPr>
              <w:t>公尺以下之系統，單一模組與支撐架正面連結（上扣）必須與</w:t>
            </w:r>
            <w:r w:rsidRPr="00173C37">
              <w:rPr>
                <w:rFonts w:ascii="Times New Roman" w:eastAsia="標楷體" w:hAnsi="Times New Roman" w:cs="Times New Roman" w:hint="eastAsia"/>
                <w:sz w:val="26"/>
                <w:szCs w:val="26"/>
              </w:rPr>
              <w:t>3</w:t>
            </w:r>
            <w:r w:rsidRPr="00173C37">
              <w:rPr>
                <w:rFonts w:ascii="Times New Roman" w:eastAsia="標楷體" w:hAnsi="Times New Roman" w:cs="Times New Roman" w:hint="eastAsia"/>
                <w:sz w:val="26"/>
                <w:szCs w:val="26"/>
              </w:rPr>
              <w:t>根支架組件（位於模組上中下側）連結固定，連結扣件共計需</w:t>
            </w:r>
            <w:r w:rsidRPr="00173C37">
              <w:rPr>
                <w:rFonts w:ascii="Times New Roman" w:eastAsia="標楷體" w:hAnsi="Times New Roman" w:cs="Times New Roman" w:hint="eastAsia"/>
                <w:sz w:val="26"/>
                <w:szCs w:val="26"/>
              </w:rPr>
              <w:t>6</w:t>
            </w:r>
            <w:r w:rsidRPr="00173C37">
              <w:rPr>
                <w:rFonts w:ascii="Times New Roman" w:eastAsia="標楷體" w:hAnsi="Times New Roman" w:cs="Times New Roman" w:hint="eastAsia"/>
                <w:sz w:val="26"/>
                <w:szCs w:val="26"/>
              </w:rPr>
              <w:t>組以上。</w:t>
            </w:r>
          </w:p>
        </w:tc>
        <w:tc>
          <w:tcPr>
            <w:tcW w:w="1324" w:type="dxa"/>
            <w:vAlign w:val="center"/>
          </w:tcPr>
          <w:p w14:paraId="53F149CA"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6AA8A7AB"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3352A6E"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bl>
    <w:p w14:paraId="4A76620A" w14:textId="77777777" w:rsidR="005E4A21" w:rsidRPr="00173C37" w:rsidRDefault="005E4A21" w:rsidP="005E4A21">
      <w:pPr>
        <w:spacing w:line="500" w:lineRule="exact"/>
        <w:jc w:val="both"/>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註：檢驗結果須全部為是，若有否者，則需由得標廠商盡速修正，以完成檢</w:t>
      </w:r>
      <w:r w:rsidRPr="00173C37">
        <w:rPr>
          <w:rFonts w:ascii="Times New Roman" w:eastAsia="標楷體" w:hAnsi="Times New Roman" w:cs="Times New Roman" w:hint="eastAsia"/>
          <w:color w:val="000000" w:themeColor="text1"/>
          <w:sz w:val="26"/>
          <w:szCs w:val="26"/>
        </w:rPr>
        <w:t>驗</w:t>
      </w:r>
      <w:r w:rsidRPr="00173C37">
        <w:rPr>
          <w:rFonts w:ascii="Times New Roman" w:eastAsia="標楷體" w:hAnsi="Times New Roman" w:cs="Times New Roman"/>
          <w:color w:val="000000" w:themeColor="text1"/>
          <w:sz w:val="26"/>
          <w:szCs w:val="26"/>
        </w:rPr>
        <w:t>。</w:t>
      </w:r>
      <w:bookmarkEnd w:id="2"/>
    </w:p>
    <w:sectPr w:rsidR="005E4A21" w:rsidRPr="00173C37" w:rsidSect="00917B06">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2DDF9" w14:textId="77777777" w:rsidR="00A64D51" w:rsidRDefault="00A64D51" w:rsidP="00770CC0">
      <w:pPr>
        <w:spacing w:line="240" w:lineRule="auto"/>
      </w:pPr>
      <w:r>
        <w:separator/>
      </w:r>
    </w:p>
  </w:endnote>
  <w:endnote w:type="continuationSeparator" w:id="0">
    <w:p w14:paraId="5439E9B7" w14:textId="77777777" w:rsidR="00A64D51" w:rsidRDefault="00A64D51" w:rsidP="00770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CJK JP Regular">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44DBD" w14:textId="77777777" w:rsidR="00A64D51" w:rsidRDefault="00A64D51" w:rsidP="00770CC0">
      <w:pPr>
        <w:spacing w:line="240" w:lineRule="auto"/>
      </w:pPr>
      <w:r>
        <w:separator/>
      </w:r>
    </w:p>
  </w:footnote>
  <w:footnote w:type="continuationSeparator" w:id="0">
    <w:p w14:paraId="5B6516FD" w14:textId="77777777" w:rsidR="00A64D51" w:rsidRDefault="00A64D51" w:rsidP="00770C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7FE1"/>
    <w:multiLevelType w:val="hybridMultilevel"/>
    <w:tmpl w:val="62B2AB98"/>
    <w:lvl w:ilvl="0" w:tplc="844E39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CA5B53"/>
    <w:multiLevelType w:val="hybridMultilevel"/>
    <w:tmpl w:val="70E8FCC0"/>
    <w:lvl w:ilvl="0" w:tplc="5ED200F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21"/>
    <w:rsid w:val="00012FF1"/>
    <w:rsid w:val="0003290A"/>
    <w:rsid w:val="000465A9"/>
    <w:rsid w:val="000B2AA6"/>
    <w:rsid w:val="00173C37"/>
    <w:rsid w:val="003F2307"/>
    <w:rsid w:val="00434052"/>
    <w:rsid w:val="00457D1C"/>
    <w:rsid w:val="0046573A"/>
    <w:rsid w:val="004D4276"/>
    <w:rsid w:val="005E4A21"/>
    <w:rsid w:val="00680E67"/>
    <w:rsid w:val="00770CC0"/>
    <w:rsid w:val="00917B06"/>
    <w:rsid w:val="0095642F"/>
    <w:rsid w:val="00A64D51"/>
    <w:rsid w:val="00A709C5"/>
    <w:rsid w:val="00A71DA3"/>
    <w:rsid w:val="00BF0212"/>
    <w:rsid w:val="00C15D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803D5"/>
  <w15:chartTrackingRefBased/>
  <w15:docId w15:val="{617D89AA-E961-4455-BD09-03A4D89A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A21"/>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4A21"/>
    <w:pPr>
      <w:ind w:leftChars="200" w:left="480"/>
    </w:pPr>
  </w:style>
  <w:style w:type="character" w:customStyle="1" w:styleId="a4">
    <w:name w:val="清單段落 字元"/>
    <w:basedOn w:val="a0"/>
    <w:link w:val="a3"/>
    <w:uiPriority w:val="34"/>
    <w:rsid w:val="005E4A21"/>
    <w:rPr>
      <w:rFonts w:ascii="Arial" w:hAnsi="Arial" w:cs="Arial"/>
      <w:kern w:val="0"/>
      <w:sz w:val="22"/>
    </w:rPr>
  </w:style>
  <w:style w:type="paragraph" w:styleId="a5">
    <w:name w:val="Body Text"/>
    <w:basedOn w:val="a"/>
    <w:link w:val="a6"/>
    <w:uiPriority w:val="1"/>
    <w:unhideWhenUsed/>
    <w:qFormat/>
    <w:rsid w:val="005E4A21"/>
    <w:pPr>
      <w:widowControl w:val="0"/>
      <w:autoSpaceDE w:val="0"/>
      <w:autoSpaceDN w:val="0"/>
      <w:spacing w:line="240" w:lineRule="auto"/>
      <w:ind w:left="1212"/>
      <w:contextualSpacing w:val="0"/>
    </w:pPr>
    <w:rPr>
      <w:rFonts w:ascii="Noto Sans CJK JP Regular" w:eastAsia="Noto Sans CJK JP Regular" w:hAnsi="Noto Sans CJK JP Regular" w:cs="Noto Sans CJK JP Regular"/>
      <w:sz w:val="24"/>
      <w:szCs w:val="24"/>
      <w:lang w:eastAsia="en-US"/>
    </w:rPr>
  </w:style>
  <w:style w:type="character" w:customStyle="1" w:styleId="a6">
    <w:name w:val="本文 字元"/>
    <w:basedOn w:val="a0"/>
    <w:link w:val="a5"/>
    <w:uiPriority w:val="1"/>
    <w:rsid w:val="005E4A21"/>
    <w:rPr>
      <w:rFonts w:ascii="Noto Sans CJK JP Regular" w:eastAsia="Noto Sans CJK JP Regular" w:hAnsi="Noto Sans CJK JP Regular" w:cs="Noto Sans CJK JP Regular"/>
      <w:kern w:val="0"/>
      <w:szCs w:val="24"/>
      <w:lang w:eastAsia="en-US"/>
    </w:rPr>
  </w:style>
  <w:style w:type="paragraph" w:customStyle="1" w:styleId="TableParagraph">
    <w:name w:val="Table Paragraph"/>
    <w:basedOn w:val="a"/>
    <w:uiPriority w:val="1"/>
    <w:qFormat/>
    <w:rsid w:val="005E4A21"/>
    <w:pPr>
      <w:widowControl w:val="0"/>
      <w:autoSpaceDE w:val="0"/>
      <w:autoSpaceDN w:val="0"/>
      <w:spacing w:line="240" w:lineRule="auto"/>
      <w:contextualSpacing w:val="0"/>
    </w:pPr>
    <w:rPr>
      <w:rFonts w:ascii="Noto Sans CJK JP Regular" w:eastAsia="Noto Sans CJK JP Regular" w:hAnsi="Noto Sans CJK JP Regular" w:cs="Noto Sans CJK JP Regular"/>
      <w:lang w:eastAsia="en-US"/>
    </w:rPr>
  </w:style>
  <w:style w:type="paragraph" w:styleId="a7">
    <w:name w:val="header"/>
    <w:basedOn w:val="a"/>
    <w:link w:val="a8"/>
    <w:uiPriority w:val="99"/>
    <w:unhideWhenUsed/>
    <w:rsid w:val="00770CC0"/>
    <w:pPr>
      <w:tabs>
        <w:tab w:val="center" w:pos="4153"/>
        <w:tab w:val="right" w:pos="8306"/>
      </w:tabs>
      <w:snapToGrid w:val="0"/>
    </w:pPr>
    <w:rPr>
      <w:sz w:val="20"/>
      <w:szCs w:val="20"/>
    </w:rPr>
  </w:style>
  <w:style w:type="character" w:customStyle="1" w:styleId="a8">
    <w:name w:val="頁首 字元"/>
    <w:basedOn w:val="a0"/>
    <w:link w:val="a7"/>
    <w:uiPriority w:val="99"/>
    <w:rsid w:val="00770CC0"/>
    <w:rPr>
      <w:rFonts w:ascii="Arial" w:hAnsi="Arial" w:cs="Arial"/>
      <w:kern w:val="0"/>
      <w:sz w:val="20"/>
      <w:szCs w:val="20"/>
    </w:rPr>
  </w:style>
  <w:style w:type="paragraph" w:styleId="a9">
    <w:name w:val="footer"/>
    <w:basedOn w:val="a"/>
    <w:link w:val="aa"/>
    <w:uiPriority w:val="99"/>
    <w:unhideWhenUsed/>
    <w:rsid w:val="00770CC0"/>
    <w:pPr>
      <w:tabs>
        <w:tab w:val="center" w:pos="4153"/>
        <w:tab w:val="right" w:pos="8306"/>
      </w:tabs>
      <w:snapToGrid w:val="0"/>
    </w:pPr>
    <w:rPr>
      <w:sz w:val="20"/>
      <w:szCs w:val="20"/>
    </w:rPr>
  </w:style>
  <w:style w:type="character" w:customStyle="1" w:styleId="aa">
    <w:name w:val="頁尾 字元"/>
    <w:basedOn w:val="a0"/>
    <w:link w:val="a9"/>
    <w:uiPriority w:val="99"/>
    <w:rsid w:val="00770CC0"/>
    <w:rPr>
      <w:rFonts w:ascii="Arial" w:hAnsi="Arial" w:cs="Arial"/>
      <w:kern w:val="0"/>
      <w:sz w:val="20"/>
      <w:szCs w:val="20"/>
    </w:rPr>
  </w:style>
  <w:style w:type="paragraph" w:styleId="Web">
    <w:name w:val="Normal (Web)"/>
    <w:basedOn w:val="a"/>
    <w:uiPriority w:val="99"/>
    <w:semiHidden/>
    <w:unhideWhenUsed/>
    <w:rsid w:val="000465A9"/>
    <w:pPr>
      <w:spacing w:before="100" w:beforeAutospacing="1" w:after="100" w:afterAutospacing="1" w:line="240" w:lineRule="auto"/>
      <w:contextualSpacing w:val="0"/>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user</cp:lastModifiedBy>
  <cp:revision>6</cp:revision>
  <dcterms:created xsi:type="dcterms:W3CDTF">2022-11-16T00:44:00Z</dcterms:created>
  <dcterms:modified xsi:type="dcterms:W3CDTF">2024-09-12T05:50:00Z</dcterms:modified>
</cp:coreProperties>
</file>