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A4822" w14:textId="0E5232E3" w:rsidR="005E4A21" w:rsidRDefault="00751C16" w:rsidP="005E4A21">
      <w:pPr>
        <w:spacing w:line="500" w:lineRule="exact"/>
        <w:jc w:val="center"/>
        <w:textDirection w:val="lrTbV"/>
        <w:rPr>
          <w:rFonts w:ascii="標楷體" w:eastAsia="標楷體" w:hAnsi="標楷體"/>
          <w:b/>
          <w:bCs/>
          <w:sz w:val="32"/>
          <w:szCs w:val="32"/>
        </w:rPr>
      </w:pPr>
      <w:r w:rsidRPr="00751C16">
        <w:rPr>
          <w:rFonts w:eastAsia="標楷體" w:hint="eastAsia"/>
          <w:b/>
          <w:sz w:val="32"/>
          <w:szCs w:val="32"/>
        </w:rPr>
        <w:t>嘉義縣立嘉新國民中學</w:t>
      </w:r>
      <w:proofErr w:type="gramStart"/>
      <w:r w:rsidRPr="00751C16">
        <w:rPr>
          <w:rFonts w:eastAsia="標楷體" w:hint="eastAsia"/>
          <w:b/>
          <w:sz w:val="32"/>
          <w:szCs w:val="32"/>
        </w:rPr>
        <w:t>112</w:t>
      </w:r>
      <w:proofErr w:type="gramEnd"/>
      <w:r w:rsidRPr="00751C16">
        <w:rPr>
          <w:rFonts w:eastAsia="標楷體" w:hint="eastAsia"/>
          <w:b/>
          <w:sz w:val="32"/>
          <w:szCs w:val="32"/>
        </w:rPr>
        <w:t>年度設置太陽光電發電設備公開標租案</w:t>
      </w:r>
    </w:p>
    <w:p w14:paraId="19BDE6A5" w14:textId="77777777" w:rsidR="005E4A21" w:rsidRPr="005E4A2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5E4A21">
        <w:rPr>
          <w:rFonts w:ascii="標楷體" w:eastAsia="標楷體" w:hAnsi="標楷體" w:cs="Times New Roman"/>
          <w:b/>
          <w:sz w:val="32"/>
          <w:szCs w:val="32"/>
        </w:rPr>
        <w:t>太陽光電發電</w:t>
      </w:r>
      <w:r w:rsidRPr="005E4A21">
        <w:rPr>
          <w:rFonts w:ascii="標楷體" w:eastAsia="標楷體" w:hAnsi="標楷體" w:cs="Times New Roman" w:hint="eastAsia"/>
          <w:b/>
          <w:sz w:val="32"/>
          <w:szCs w:val="32"/>
        </w:rPr>
        <w:t>系統及</w:t>
      </w:r>
      <w:r w:rsidRPr="005E4A21">
        <w:rPr>
          <w:rFonts w:ascii="標楷體" w:eastAsia="標楷體" w:hAnsi="標楷體" w:cs="Times New Roman"/>
          <w:b/>
          <w:sz w:val="32"/>
          <w:szCs w:val="32"/>
        </w:rPr>
        <w:t>設備檢驗表</w:t>
      </w:r>
    </w:p>
    <w:p w14:paraId="2545F474" w14:textId="77777777" w:rsidR="005E4A21" w:rsidRDefault="005E4A21" w:rsidP="005E4A21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07BFC113" w14:textId="77777777" w:rsidR="005E4A21" w:rsidRDefault="005E4A21" w:rsidP="005E4A21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25EB733" w14:textId="77777777" w:rsidR="005E4A21" w:rsidRPr="00A243C7" w:rsidRDefault="005E4A21" w:rsidP="005E4A21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243C7">
        <w:rPr>
          <w:rFonts w:ascii="Times New Roman" w:eastAsia="標楷體" w:hAnsi="Times New Roman" w:cs="Times New Roman"/>
          <w:sz w:val="28"/>
          <w:szCs w:val="28"/>
        </w:rPr>
        <w:t>設置地址：</w:t>
      </w:r>
    </w:p>
    <w:p w14:paraId="66A7180C" w14:textId="77777777" w:rsidR="005E4A21" w:rsidRPr="00A243C7" w:rsidRDefault="005E4A21" w:rsidP="005E4A21">
      <w:pPr>
        <w:spacing w:line="500" w:lineRule="exact"/>
        <w:jc w:val="both"/>
        <w:rPr>
          <w:rFonts w:ascii="Times New Roman" w:eastAsia="標楷體" w:hAnsi="Times New Roman" w:cs="Times New Roman"/>
          <w:color w:val="545454"/>
          <w:sz w:val="28"/>
          <w:szCs w:val="28"/>
          <w:shd w:val="clear" w:color="auto" w:fill="FFFFFF"/>
        </w:rPr>
      </w:pPr>
      <w:r w:rsidRPr="00A243C7">
        <w:rPr>
          <w:rFonts w:ascii="Times New Roman" w:eastAsia="標楷體" w:hAnsi="Times New Roman" w:cs="Times New Roman"/>
          <w:sz w:val="28"/>
          <w:szCs w:val="28"/>
        </w:rPr>
        <w:t>設置容量：單一模組裝置容量</w:t>
      </w:r>
      <w:r w:rsidRPr="00A243C7">
        <w:rPr>
          <w:rFonts w:ascii="Times New Roman" w:eastAsia="標楷體" w:hAnsi="Times New Roman" w:cs="Times New Roman"/>
          <w:sz w:val="28"/>
          <w:szCs w:val="28"/>
        </w:rPr>
        <w:t>_____</w:t>
      </w:r>
      <w:proofErr w:type="gramStart"/>
      <w:r w:rsidRPr="00A243C7">
        <w:rPr>
          <w:rFonts w:ascii="Times New Roman" w:eastAsia="標楷體" w:hAnsi="Times New Roman" w:cs="Times New Roman"/>
          <w:color w:val="545454"/>
          <w:sz w:val="28"/>
          <w:szCs w:val="28"/>
          <w:shd w:val="clear" w:color="auto" w:fill="FFFFFF"/>
        </w:rPr>
        <w:t>瓩</w:t>
      </w:r>
      <w:proofErr w:type="gramEnd"/>
      <w:r w:rsidRPr="00A243C7">
        <w:rPr>
          <w:rFonts w:ascii="Times New Roman" w:eastAsia="標楷體" w:hAnsi="Times New Roman" w:cs="Times New Roman"/>
          <w:sz w:val="28"/>
          <w:szCs w:val="28"/>
        </w:rPr>
        <w:t>，總裝置容量</w:t>
      </w:r>
      <w:r w:rsidRPr="00A243C7">
        <w:rPr>
          <w:rFonts w:ascii="Times New Roman" w:eastAsia="標楷體" w:hAnsi="Times New Roman" w:cs="Times New Roman"/>
          <w:sz w:val="28"/>
          <w:szCs w:val="28"/>
        </w:rPr>
        <w:t>______</w:t>
      </w:r>
      <w:proofErr w:type="gramStart"/>
      <w:r w:rsidRPr="00A243C7">
        <w:rPr>
          <w:rFonts w:ascii="Times New Roman" w:eastAsia="標楷體" w:hAnsi="Times New Roman" w:cs="Times New Roman"/>
          <w:color w:val="545454"/>
          <w:sz w:val="28"/>
          <w:szCs w:val="28"/>
          <w:shd w:val="clear" w:color="auto" w:fill="FFFFFF"/>
        </w:rPr>
        <w:t>瓩</w:t>
      </w:r>
      <w:proofErr w:type="gramEnd"/>
    </w:p>
    <w:p w14:paraId="335277E6" w14:textId="174FA9AC" w:rsidR="005E4A21" w:rsidRPr="00A71DA3" w:rsidRDefault="005E4A21" w:rsidP="00A71DA3">
      <w:pPr>
        <w:spacing w:line="50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A243C7">
        <w:rPr>
          <w:rFonts w:ascii="Times New Roman" w:eastAsia="標楷體" w:hAnsi="Times New Roman" w:cs="Times New Roman"/>
          <w:sz w:val="28"/>
          <w:szCs w:val="28"/>
        </w:rPr>
        <w:t>本案業已於中華民國</w:t>
      </w:r>
      <w:r w:rsidRPr="00A243C7">
        <w:rPr>
          <w:rFonts w:ascii="Times New Roman" w:eastAsia="標楷體" w:hAnsi="Times New Roman" w:cs="Times New Roman"/>
          <w:sz w:val="28"/>
          <w:szCs w:val="28"/>
        </w:rPr>
        <w:t>__</w:t>
      </w:r>
      <w:r w:rsidRPr="00A243C7">
        <w:rPr>
          <w:rFonts w:ascii="Times New Roman" w:eastAsia="標楷體" w:hAnsi="Times New Roman" w:cs="Times New Roman"/>
          <w:sz w:val="28"/>
          <w:szCs w:val="28"/>
        </w:rPr>
        <w:t>年</w:t>
      </w:r>
      <w:r w:rsidRPr="00A243C7">
        <w:rPr>
          <w:rFonts w:ascii="Times New Roman" w:eastAsia="標楷體" w:hAnsi="Times New Roman" w:cs="Times New Roman"/>
          <w:sz w:val="28"/>
          <w:szCs w:val="28"/>
        </w:rPr>
        <w:t>__</w:t>
      </w:r>
      <w:r w:rsidRPr="00A243C7">
        <w:rPr>
          <w:rFonts w:ascii="Times New Roman" w:eastAsia="標楷體" w:hAnsi="Times New Roman" w:cs="Times New Roman"/>
          <w:sz w:val="28"/>
          <w:szCs w:val="28"/>
        </w:rPr>
        <w:t>月</w:t>
      </w:r>
      <w:r w:rsidRPr="00A243C7">
        <w:rPr>
          <w:rFonts w:ascii="Times New Roman" w:eastAsia="標楷體" w:hAnsi="Times New Roman" w:cs="Times New Roman"/>
          <w:sz w:val="28"/>
          <w:szCs w:val="28"/>
        </w:rPr>
        <w:t>__</w:t>
      </w:r>
      <w:proofErr w:type="gramStart"/>
      <w:r w:rsidRPr="00A243C7">
        <w:rPr>
          <w:rFonts w:ascii="Times New Roman" w:eastAsia="標楷體" w:hAnsi="Times New Roman" w:cs="Times New Roman"/>
          <w:sz w:val="28"/>
          <w:szCs w:val="28"/>
        </w:rPr>
        <w:t>日按圖</w:t>
      </w:r>
      <w:proofErr w:type="gramEnd"/>
      <w:r w:rsidRPr="00A243C7">
        <w:rPr>
          <w:rFonts w:ascii="Times New Roman" w:eastAsia="標楷體" w:hAnsi="Times New Roman" w:cs="Times New Roman"/>
          <w:sz w:val="28"/>
          <w:szCs w:val="28"/>
        </w:rPr>
        <w:t>施工完竣，經本</w:t>
      </w:r>
      <w:r w:rsidRPr="00A243C7">
        <w:rPr>
          <w:rFonts w:ascii="Times New Roman" w:eastAsia="標楷體" w:hAnsi="Times New Roman" w:cs="Times New Roman"/>
          <w:sz w:val="28"/>
          <w:szCs w:val="28"/>
        </w:rPr>
        <w:t>________(</w:t>
      </w:r>
      <w:r w:rsidRPr="00A243C7">
        <w:rPr>
          <w:rFonts w:ascii="Times New Roman" w:eastAsia="標楷體" w:hAnsi="Times New Roman" w:cs="Times New Roman"/>
          <w:sz w:val="28"/>
          <w:szCs w:val="28"/>
        </w:rPr>
        <w:t>建築師、土木技師或結構技師</w:t>
      </w:r>
      <w:r w:rsidRPr="00A243C7">
        <w:rPr>
          <w:rFonts w:ascii="Times New Roman" w:eastAsia="標楷體" w:hAnsi="Times New Roman" w:cs="Times New Roman"/>
          <w:sz w:val="28"/>
          <w:szCs w:val="28"/>
        </w:rPr>
        <w:t>)</w:t>
      </w:r>
      <w:r w:rsidRPr="00A243C7">
        <w:rPr>
          <w:rFonts w:ascii="Times New Roman" w:eastAsia="標楷體" w:hAnsi="Times New Roman" w:cs="Times New Roman"/>
          <w:sz w:val="28"/>
          <w:szCs w:val="28"/>
        </w:rPr>
        <w:t>確認太陽光電發電設備之主結構、隔絕要求、太陽能模組、支撐架結構</w:t>
      </w:r>
      <w:proofErr w:type="gramStart"/>
      <w:r w:rsidRPr="00A243C7">
        <w:rPr>
          <w:rFonts w:ascii="Times New Roman" w:eastAsia="標楷體" w:hAnsi="Times New Roman" w:cs="Times New Roman"/>
          <w:sz w:val="28"/>
          <w:szCs w:val="28"/>
        </w:rPr>
        <w:t>與組件</w:t>
      </w:r>
      <w:proofErr w:type="gramEnd"/>
      <w:r w:rsidRPr="00A243C7">
        <w:rPr>
          <w:rFonts w:ascii="Times New Roman" w:eastAsia="標楷體" w:hAnsi="Times New Roman" w:cs="Times New Roman"/>
          <w:sz w:val="28"/>
          <w:szCs w:val="28"/>
        </w:rPr>
        <w:t>、材質，符合「</w:t>
      </w:r>
      <w:r w:rsidR="00A71DA3" w:rsidRPr="00A71DA3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學校設置太陽光電發電設備公開標租租賃契約書</w:t>
      </w:r>
      <w:r w:rsidRPr="00A243C7">
        <w:rPr>
          <w:rFonts w:ascii="Times New Roman" w:eastAsia="標楷體" w:hAnsi="Times New Roman" w:cs="Times New Roman"/>
          <w:sz w:val="28"/>
          <w:szCs w:val="28"/>
        </w:rPr>
        <w:t>」第二條之規定。</w:t>
      </w:r>
    </w:p>
    <w:p w14:paraId="7DCE8FD6" w14:textId="77777777" w:rsidR="005E4A21" w:rsidRPr="00A243C7" w:rsidRDefault="005E4A21" w:rsidP="005E4A21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8710A69" w14:textId="77777777" w:rsidR="005E4A21" w:rsidRPr="00A243C7" w:rsidRDefault="005E4A21" w:rsidP="005E4A21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3A96026" w14:textId="77777777" w:rsidR="005E4A21" w:rsidRPr="00A243C7" w:rsidRDefault="005E4A21" w:rsidP="005E4A21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3DA4AFA" w14:textId="77777777" w:rsidR="005E4A21" w:rsidRPr="00A243C7" w:rsidRDefault="005E4A21" w:rsidP="005E4A21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87B2300" w14:textId="77777777" w:rsidR="005E4A21" w:rsidRPr="00A243C7" w:rsidRDefault="00A71DA3" w:rsidP="005E4A21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A243C7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5CFE3" wp14:editId="75B50CBB">
                <wp:simplePos x="0" y="0"/>
                <wp:positionH relativeFrom="column">
                  <wp:posOffset>4198620</wp:posOffset>
                </wp:positionH>
                <wp:positionV relativeFrom="paragraph">
                  <wp:posOffset>92710</wp:posOffset>
                </wp:positionV>
                <wp:extent cx="1208598" cy="1160891"/>
                <wp:effectExtent l="0" t="0" r="10795" b="2032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598" cy="11608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43734" id="矩形 47" o:spid="_x0000_s1026" style="position:absolute;margin-left:330.6pt;margin-top:7.3pt;width:95.15pt;height:9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" filled="f" strokecolor="black [3213]" strokeweight="1pt">
                <v:stroke dashstyle="dash"/>
              </v:rect>
            </w:pict>
          </mc:Fallback>
        </mc:AlternateContent>
      </w:r>
      <w:r w:rsidR="005E4A21" w:rsidRPr="00A243C7">
        <w:rPr>
          <w:rFonts w:ascii="Times New Roman" w:eastAsia="標楷體" w:hAnsi="Times New Roman" w:cs="Times New Roman"/>
          <w:sz w:val="28"/>
          <w:szCs w:val="28"/>
        </w:rPr>
        <w:t>簽名或蓋章：</w:t>
      </w:r>
    </w:p>
    <w:p w14:paraId="06FA8A19" w14:textId="77777777" w:rsidR="005E4A21" w:rsidRPr="00A243C7" w:rsidRDefault="00A71DA3" w:rsidP="005E4A21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A243C7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B6625C" wp14:editId="18E84A27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1097170" cy="326004"/>
                <wp:effectExtent l="0" t="0" r="0" b="0"/>
                <wp:wrapNone/>
                <wp:docPr id="46" name="文字方塊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170" cy="3260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716EC5" w14:textId="77777777" w:rsidR="005E4A21" w:rsidRPr="00122093" w:rsidRDefault="005E4A21" w:rsidP="005E4A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20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開業</w:t>
                            </w:r>
                            <w:r w:rsidRPr="001220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1220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執業圖戳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D69DA" id="_x0000_t202" coordsize="21600,21600" o:spt="202" path="m,l,21600r21600,l21600,xe">
                <v:stroke joinstyle="miter"/>
                <v:path gradientshapeok="t" o:connecttype="rect"/>
              </v:shapetype>
              <v:shape id="文字方塊 46" o:spid="_x0000_s1026" type="#_x0000_t202" style="position:absolute;margin-left:342pt;margin-top:.5pt;width:86.4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" filled="f" stroked="f" strokeweight=".5pt">
                <v:textbox>
                  <w:txbxContent>
                    <w:p w:rsidR="005E4A21" w:rsidRPr="00122093" w:rsidRDefault="005E4A21" w:rsidP="005E4A21">
                      <w:pPr>
                        <w:rPr>
                          <w:sz w:val="20"/>
                          <w:szCs w:val="20"/>
                        </w:rPr>
                      </w:pPr>
                      <w:r w:rsidRPr="00122093">
                        <w:rPr>
                          <w:rFonts w:hint="eastAsia"/>
                          <w:sz w:val="20"/>
                          <w:szCs w:val="20"/>
                        </w:rPr>
                        <w:t>開業</w:t>
                      </w:r>
                      <w:r w:rsidRPr="00122093">
                        <w:rPr>
                          <w:rFonts w:hint="eastAsia"/>
                          <w:sz w:val="20"/>
                          <w:szCs w:val="20"/>
                        </w:rPr>
                        <w:t>/</w:t>
                      </w:r>
                      <w:r w:rsidRPr="00122093">
                        <w:rPr>
                          <w:rFonts w:hint="eastAsia"/>
                          <w:sz w:val="20"/>
                          <w:szCs w:val="20"/>
                        </w:rPr>
                        <w:t>執業圖戳</w:t>
                      </w:r>
                    </w:p>
                  </w:txbxContent>
                </v:textbox>
              </v:shape>
            </w:pict>
          </mc:Fallback>
        </mc:AlternateContent>
      </w:r>
      <w:r w:rsidR="005E4A21" w:rsidRPr="00A243C7">
        <w:rPr>
          <w:rFonts w:ascii="Times New Roman" w:eastAsia="標楷體" w:hAnsi="Times New Roman" w:cs="Times New Roman"/>
          <w:sz w:val="28"/>
          <w:szCs w:val="28"/>
        </w:rPr>
        <w:t>開業</w:t>
      </w:r>
      <w:r w:rsidR="005E4A21" w:rsidRPr="00A243C7">
        <w:rPr>
          <w:rFonts w:ascii="Times New Roman" w:eastAsia="標楷體" w:hAnsi="Times New Roman" w:cs="Times New Roman"/>
          <w:sz w:val="28"/>
          <w:szCs w:val="28"/>
        </w:rPr>
        <w:t>/</w:t>
      </w:r>
      <w:r w:rsidR="005E4A21" w:rsidRPr="00A243C7">
        <w:rPr>
          <w:rFonts w:ascii="Times New Roman" w:eastAsia="標楷體" w:hAnsi="Times New Roman" w:cs="Times New Roman"/>
          <w:sz w:val="28"/>
          <w:szCs w:val="28"/>
        </w:rPr>
        <w:t>執業執照號碼：</w:t>
      </w:r>
    </w:p>
    <w:p w14:paraId="5490A56A" w14:textId="77777777" w:rsidR="005E4A21" w:rsidRPr="00A243C7" w:rsidRDefault="005E4A21" w:rsidP="005E4A21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A243C7">
        <w:rPr>
          <w:rFonts w:ascii="Times New Roman" w:eastAsia="標楷體" w:hAnsi="Times New Roman" w:cs="Times New Roman"/>
          <w:sz w:val="28"/>
          <w:szCs w:val="28"/>
        </w:rPr>
        <w:t>事務所名稱：</w:t>
      </w:r>
    </w:p>
    <w:p w14:paraId="4C26C686" w14:textId="77777777" w:rsidR="005E4A21" w:rsidRPr="00A243C7" w:rsidRDefault="005E4A21" w:rsidP="005E4A21">
      <w:pPr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069AD58E" w14:textId="77777777" w:rsidR="005E4A21" w:rsidRPr="00A243C7" w:rsidRDefault="005E4A21" w:rsidP="005E4A21">
      <w:pPr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7CFF5803" w14:textId="77777777" w:rsidR="005E4A21" w:rsidRPr="00A243C7" w:rsidRDefault="005E4A21" w:rsidP="005E4A21">
      <w:pPr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6AE06A77" w14:textId="77777777" w:rsidR="005E4A21" w:rsidRPr="00A243C7" w:rsidRDefault="005E4A21" w:rsidP="005E4A21">
      <w:pPr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3E614F57" w14:textId="77777777" w:rsidR="005E4A21" w:rsidRDefault="005E4A21" w:rsidP="005E4A21">
      <w:pPr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362D9D0A" w14:textId="77777777" w:rsidR="005E4A21" w:rsidRPr="00A243C7" w:rsidRDefault="005E4A21" w:rsidP="005E4A21">
      <w:pPr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0EEE59B5" w14:textId="77777777" w:rsidR="005E4A21" w:rsidRPr="00A243C7" w:rsidRDefault="005E4A21" w:rsidP="005E4A21">
      <w:pPr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68F43CC2" w14:textId="77777777" w:rsidR="005E4A21" w:rsidRPr="00A243C7" w:rsidRDefault="005E4A21" w:rsidP="005E4A21">
      <w:pPr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7CCBCDAB" w14:textId="77777777" w:rsidR="005E4A21" w:rsidRPr="00A243C7" w:rsidRDefault="005E4A21" w:rsidP="005E4A21">
      <w:pPr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319E083E" w14:textId="77777777" w:rsidR="005E4A21" w:rsidRPr="00A243C7" w:rsidRDefault="005E4A21" w:rsidP="005E4A21">
      <w:pPr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16AEF463" w14:textId="77777777" w:rsidR="005E4A21" w:rsidRPr="00A243C7" w:rsidRDefault="005E4A21" w:rsidP="005E4A21">
      <w:pPr>
        <w:spacing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A243C7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A243C7"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Pr="00A243C7">
        <w:rPr>
          <w:rFonts w:ascii="Times New Roman" w:eastAsia="標楷體" w:hAnsi="Times New Roman" w:cs="Times New Roman"/>
          <w:sz w:val="28"/>
          <w:szCs w:val="28"/>
        </w:rPr>
        <w:t>年</w:t>
      </w:r>
      <w:r w:rsidRPr="00A243C7">
        <w:rPr>
          <w:rFonts w:ascii="Times New Roman" w:eastAsia="標楷體" w:hAnsi="Times New Roman" w:cs="Times New Roman"/>
          <w:sz w:val="28"/>
          <w:szCs w:val="28"/>
        </w:rPr>
        <w:t xml:space="preserve">                </w:t>
      </w:r>
      <w:r w:rsidRPr="00A243C7">
        <w:rPr>
          <w:rFonts w:ascii="Times New Roman" w:eastAsia="標楷體" w:hAnsi="Times New Roman" w:cs="Times New Roman"/>
          <w:sz w:val="28"/>
          <w:szCs w:val="28"/>
        </w:rPr>
        <w:t>月</w:t>
      </w:r>
      <w:r w:rsidRPr="00A243C7">
        <w:rPr>
          <w:rFonts w:ascii="Times New Roman" w:eastAsia="標楷體" w:hAnsi="Times New Roman" w:cs="Times New Roman"/>
          <w:sz w:val="28"/>
          <w:szCs w:val="28"/>
        </w:rPr>
        <w:t xml:space="preserve">               </w:t>
      </w:r>
      <w:r w:rsidRPr="00A243C7"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50E246D7" w14:textId="77777777" w:rsidR="005E4A21" w:rsidRDefault="005E4A21" w:rsidP="005E4A21">
      <w:pPr>
        <w:spacing w:line="5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bookmarkStart w:id="0" w:name="_Toc4666256"/>
    </w:p>
    <w:bookmarkEnd w:id="0"/>
    <w:p w14:paraId="13C48DE2" w14:textId="77777777" w:rsidR="005E4A21" w:rsidRPr="000B2AA6" w:rsidRDefault="00A71DA3" w:rsidP="005E4A21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B2AA6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lastRenderedPageBreak/>
        <w:t>嘉義</w:t>
      </w:r>
      <w:r w:rsidR="005E4A21" w:rsidRPr="000B2AA6">
        <w:rPr>
          <w:rFonts w:ascii="Times New Roman" w:eastAsia="標楷體" w:hAnsi="Times New Roman" w:cs="Times New Roman"/>
          <w:b/>
          <w:sz w:val="32"/>
          <w:szCs w:val="32"/>
        </w:rPr>
        <w:t>縣所屬學校設置</w:t>
      </w:r>
      <w:r w:rsidRPr="000B2AA6">
        <w:rPr>
          <w:rFonts w:ascii="標楷體" w:eastAsia="標楷體" w:hAnsi="標楷體" w:hint="eastAsia"/>
          <w:b/>
          <w:bCs/>
          <w:sz w:val="32"/>
          <w:szCs w:val="32"/>
        </w:rPr>
        <w:t>太陽光電發電設備</w:t>
      </w:r>
      <w:r w:rsidR="005E4A21" w:rsidRPr="000B2AA6">
        <w:rPr>
          <w:rFonts w:ascii="Times New Roman" w:eastAsia="標楷體" w:hAnsi="Times New Roman" w:cs="Times New Roman"/>
          <w:b/>
          <w:sz w:val="32"/>
          <w:szCs w:val="32"/>
        </w:rPr>
        <w:t>檢驗項目</w:t>
      </w: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526"/>
        <w:gridCol w:w="7470"/>
        <w:gridCol w:w="1324"/>
        <w:gridCol w:w="709"/>
      </w:tblGrid>
      <w:tr w:rsidR="005E4A21" w:rsidRPr="00A243C7" w14:paraId="441BA91B" w14:textId="77777777" w:rsidTr="00167AC5">
        <w:trPr>
          <w:trHeight w:val="210"/>
        </w:trPr>
        <w:tc>
          <w:tcPr>
            <w:tcW w:w="0" w:type="auto"/>
            <w:vAlign w:val="center"/>
          </w:tcPr>
          <w:p w14:paraId="7683E087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bookmarkStart w:id="1" w:name="_Hlk17280654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類別</w:t>
            </w:r>
          </w:p>
        </w:tc>
        <w:tc>
          <w:tcPr>
            <w:tcW w:w="0" w:type="auto"/>
            <w:vAlign w:val="center"/>
          </w:tcPr>
          <w:p w14:paraId="3C499B8C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項次</w:t>
            </w:r>
          </w:p>
        </w:tc>
        <w:tc>
          <w:tcPr>
            <w:tcW w:w="0" w:type="auto"/>
            <w:vAlign w:val="center"/>
          </w:tcPr>
          <w:p w14:paraId="6EE1111D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項目</w:t>
            </w:r>
          </w:p>
        </w:tc>
        <w:tc>
          <w:tcPr>
            <w:tcW w:w="1324" w:type="dxa"/>
            <w:vAlign w:val="center"/>
          </w:tcPr>
          <w:p w14:paraId="4B5A7BC6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檢查</w:t>
            </w:r>
          </w:p>
          <w:p w14:paraId="694B26AE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結果</w:t>
            </w:r>
          </w:p>
        </w:tc>
        <w:tc>
          <w:tcPr>
            <w:tcW w:w="709" w:type="dxa"/>
          </w:tcPr>
          <w:p w14:paraId="0317D38E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備註</w:t>
            </w:r>
          </w:p>
        </w:tc>
      </w:tr>
      <w:tr w:rsidR="005E4A21" w:rsidRPr="00A243C7" w14:paraId="022922B6" w14:textId="77777777" w:rsidTr="00167AC5">
        <w:trPr>
          <w:trHeight w:val="302"/>
        </w:trPr>
        <w:tc>
          <w:tcPr>
            <w:tcW w:w="0" w:type="auto"/>
            <w:vMerge w:val="restart"/>
            <w:vAlign w:val="center"/>
          </w:tcPr>
          <w:p w14:paraId="74334554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半戶外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球場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設計與隔絕要求</w:t>
            </w:r>
          </w:p>
        </w:tc>
        <w:tc>
          <w:tcPr>
            <w:tcW w:w="0" w:type="auto"/>
            <w:vAlign w:val="center"/>
          </w:tcPr>
          <w:p w14:paraId="6DF79429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4DFBD16B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設置太陽能光電風雨球場，</w:t>
            </w:r>
            <w:proofErr w:type="gramStart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結構柱高起</w:t>
            </w:r>
            <w:proofErr w:type="gramEnd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算點為屋頂下緣起算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7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公尺，且太陽能光電發電系統須完整覆蓋整個</w:t>
            </w:r>
            <w:proofErr w:type="gramStart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施作標的</w:t>
            </w:r>
            <w:proofErr w:type="gramEnd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球場。</w:t>
            </w:r>
          </w:p>
        </w:tc>
        <w:tc>
          <w:tcPr>
            <w:tcW w:w="1324" w:type="dxa"/>
            <w:vAlign w:val="center"/>
          </w:tcPr>
          <w:p w14:paraId="509DDEB2" w14:textId="77777777" w:rsidR="005E4A21" w:rsidRPr="00173C37" w:rsidRDefault="005E4A21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="00A709C5"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537530EC" w14:textId="77777777" w:rsidR="005E4A21" w:rsidRPr="00173C37" w:rsidRDefault="005E4A21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="00A709C5"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51E2BAE7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4137E55D" w14:textId="77777777" w:rsidTr="00167AC5">
        <w:trPr>
          <w:trHeight w:val="302"/>
        </w:trPr>
        <w:tc>
          <w:tcPr>
            <w:tcW w:w="0" w:type="auto"/>
            <w:vMerge/>
            <w:vAlign w:val="center"/>
          </w:tcPr>
          <w:p w14:paraId="7F255E14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57972DC9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14:paraId="5DC466FD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為考量屋頂</w:t>
            </w:r>
            <w:proofErr w:type="gramStart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洩</w:t>
            </w:r>
            <w:proofErr w:type="gramEnd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水及太陽能光電板日照角度，建議屋頂設置斜率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6~8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度範圍內為佳。</w:t>
            </w:r>
          </w:p>
        </w:tc>
        <w:tc>
          <w:tcPr>
            <w:tcW w:w="1324" w:type="dxa"/>
          </w:tcPr>
          <w:p w14:paraId="52AFD21F" w14:textId="77777777" w:rsidR="00A709C5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3E1CE3C7" w14:textId="77777777" w:rsidR="005E4A21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755B0E13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33F1EFB8" w14:textId="77777777" w:rsidTr="00167AC5">
        <w:trPr>
          <w:trHeight w:val="265"/>
        </w:trPr>
        <w:tc>
          <w:tcPr>
            <w:tcW w:w="0" w:type="auto"/>
            <w:vMerge/>
            <w:vAlign w:val="center"/>
          </w:tcPr>
          <w:p w14:paraId="1867015F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42AC5228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14:paraId="67D8AEA8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裝設天花隔離網，預防球直接接觸太陽能板。</w:t>
            </w:r>
          </w:p>
        </w:tc>
        <w:tc>
          <w:tcPr>
            <w:tcW w:w="1324" w:type="dxa"/>
          </w:tcPr>
          <w:p w14:paraId="7EB152F8" w14:textId="77777777" w:rsidR="00A709C5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73C90288" w14:textId="77777777" w:rsidR="005E4A21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017300CA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19BE9CA9" w14:textId="77777777" w:rsidTr="00167AC5">
        <w:trPr>
          <w:trHeight w:val="266"/>
        </w:trPr>
        <w:tc>
          <w:tcPr>
            <w:tcW w:w="0" w:type="auto"/>
            <w:vMerge/>
          </w:tcPr>
          <w:p w14:paraId="6386315F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2E20F273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14:paraId="4101FB59" w14:textId="77777777" w:rsidR="005E4A21" w:rsidRPr="00173C37" w:rsidRDefault="005E4A21" w:rsidP="00167AC5">
            <w:pPr>
              <w:overflowPunct w:val="0"/>
              <w:spacing w:line="400" w:lineRule="exact"/>
              <w:contextualSpacing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每</w:t>
            </w:r>
            <w:proofErr w:type="gramStart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個</w:t>
            </w:r>
            <w:proofErr w:type="gramEnd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球場結構支柱</w:t>
            </w:r>
            <w:proofErr w:type="gramStart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需包覆由</w:t>
            </w:r>
            <w:proofErr w:type="gramEnd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地面起算，高度達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公尺防護墊</w:t>
            </w:r>
            <w:proofErr w:type="gramStart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（</w:t>
            </w:r>
            <w:proofErr w:type="gramEnd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材質：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EVA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、厚度：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30mm</w:t>
            </w:r>
            <w:proofErr w:type="gramStart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）</w:t>
            </w:r>
            <w:proofErr w:type="gramEnd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</w:tc>
        <w:tc>
          <w:tcPr>
            <w:tcW w:w="1324" w:type="dxa"/>
          </w:tcPr>
          <w:p w14:paraId="04144972" w14:textId="77777777" w:rsidR="00A709C5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1952522A" w14:textId="77777777" w:rsidR="005E4A21" w:rsidRPr="00173C37" w:rsidRDefault="00A709C5" w:rsidP="00A709C5">
            <w:pPr>
              <w:overflowPunct w:val="0"/>
              <w:spacing w:line="400" w:lineRule="exact"/>
              <w:contextualSpacing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0626CE22" w14:textId="77777777" w:rsidR="005E4A21" w:rsidRPr="00173C37" w:rsidRDefault="005E4A21" w:rsidP="00167AC5">
            <w:pPr>
              <w:overflowPunct w:val="0"/>
              <w:spacing w:line="400" w:lineRule="exact"/>
              <w:contextualSpacing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7096944E" w14:textId="77777777" w:rsidTr="00167AC5">
        <w:trPr>
          <w:trHeight w:val="266"/>
        </w:trPr>
        <w:tc>
          <w:tcPr>
            <w:tcW w:w="0" w:type="auto"/>
            <w:vMerge/>
          </w:tcPr>
          <w:p w14:paraId="408CBC9C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722C95DE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14:paraId="337E66C0" w14:textId="77777777" w:rsidR="005E4A21" w:rsidRPr="00173C37" w:rsidRDefault="005E4A21" w:rsidP="00167AC5">
            <w:pPr>
              <w:overflowPunct w:val="0"/>
              <w:spacing w:line="400" w:lineRule="exact"/>
              <w:contextualSpacing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重要機電位置加裝隔離圍欄，並設置危險告示。</w:t>
            </w:r>
          </w:p>
        </w:tc>
        <w:tc>
          <w:tcPr>
            <w:tcW w:w="1324" w:type="dxa"/>
          </w:tcPr>
          <w:p w14:paraId="1338AC65" w14:textId="77777777" w:rsidR="00A709C5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003A4D9A" w14:textId="77777777" w:rsidR="005E4A21" w:rsidRPr="00173C37" w:rsidRDefault="00A709C5" w:rsidP="00A709C5">
            <w:pPr>
              <w:overflowPunct w:val="0"/>
              <w:spacing w:line="400" w:lineRule="exact"/>
              <w:contextualSpacing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57BFB52E" w14:textId="77777777" w:rsidR="005E4A21" w:rsidRPr="00173C37" w:rsidRDefault="005E4A21" w:rsidP="00167AC5">
            <w:pPr>
              <w:overflowPunct w:val="0"/>
              <w:spacing w:line="400" w:lineRule="exact"/>
              <w:contextualSpacing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3311A34F" w14:textId="77777777" w:rsidTr="00167AC5">
        <w:trPr>
          <w:trHeight w:val="454"/>
        </w:trPr>
        <w:tc>
          <w:tcPr>
            <w:tcW w:w="0" w:type="auto"/>
            <w:vMerge/>
          </w:tcPr>
          <w:p w14:paraId="5BC46075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17B5468B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14:paraId="205FF467" w14:textId="77777777" w:rsidR="005E4A21" w:rsidRPr="00173C37" w:rsidRDefault="005E4A21" w:rsidP="00167AC5">
            <w:pPr>
              <w:overflowPunct w:val="0"/>
              <w:spacing w:line="400" w:lineRule="exact"/>
              <w:contextualSpacing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加裝設漏電斷路器，且需符合「用戶用電設備裝置規則」、「電工法規」等相關規定，並於施工完成後確認漏電斷路器使用功能正常。</w:t>
            </w:r>
          </w:p>
        </w:tc>
        <w:tc>
          <w:tcPr>
            <w:tcW w:w="1324" w:type="dxa"/>
          </w:tcPr>
          <w:p w14:paraId="1C2FC5D9" w14:textId="77777777" w:rsidR="00A709C5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6FC5D2AC" w14:textId="77777777" w:rsidR="005E4A21" w:rsidRPr="00173C37" w:rsidRDefault="00A709C5" w:rsidP="00A709C5">
            <w:pPr>
              <w:overflowPunct w:val="0"/>
              <w:spacing w:line="400" w:lineRule="exact"/>
              <w:contextualSpacing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132FFD35" w14:textId="77777777" w:rsidR="005E4A21" w:rsidRPr="00173C37" w:rsidRDefault="005E4A21" w:rsidP="00167AC5">
            <w:pPr>
              <w:overflowPunct w:val="0"/>
              <w:spacing w:line="400" w:lineRule="exact"/>
              <w:contextualSpacing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3745CC57" w14:textId="77777777" w:rsidTr="00167AC5">
        <w:trPr>
          <w:trHeight w:val="454"/>
        </w:trPr>
        <w:tc>
          <w:tcPr>
            <w:tcW w:w="0" w:type="auto"/>
            <w:vMerge/>
          </w:tcPr>
          <w:p w14:paraId="46B2EB5C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58FC0435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14:paraId="573A52A6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相關</w:t>
            </w:r>
            <w:r w:rsidRPr="00173C37">
              <w:rPr>
                <w:rFonts w:ascii="Times New Roman" w:eastAsia="標楷體" w:hAnsi="Times New Roman" w:cs="Times New Roman"/>
                <w:kern w:val="2"/>
                <w:sz w:val="26"/>
                <w:szCs w:val="26"/>
              </w:rPr>
              <w:t>線路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接地標準應依「電工法規」或「用戶用電設備裝置規則」等規範施作</w:t>
            </w:r>
            <w:r w:rsidRPr="00173C37">
              <w:rPr>
                <w:rFonts w:ascii="Times New Roman" w:eastAsia="標楷體" w:hAnsi="Times New Roman" w:cs="Times New Roman"/>
                <w:kern w:val="2"/>
                <w:sz w:val="26"/>
                <w:szCs w:val="26"/>
              </w:rPr>
              <w:t>。</w:t>
            </w:r>
          </w:p>
        </w:tc>
        <w:tc>
          <w:tcPr>
            <w:tcW w:w="1324" w:type="dxa"/>
          </w:tcPr>
          <w:p w14:paraId="73818BA2" w14:textId="77777777" w:rsidR="00A709C5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4BD6C42E" w14:textId="77777777" w:rsidR="005E4A21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0930FC25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0884E752" w14:textId="77777777" w:rsidTr="00167AC5">
        <w:trPr>
          <w:trHeight w:val="454"/>
        </w:trPr>
        <w:tc>
          <w:tcPr>
            <w:tcW w:w="0" w:type="auto"/>
            <w:vMerge/>
          </w:tcPr>
          <w:p w14:paraId="0BBD0897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6DFF3A4E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</w:p>
        </w:tc>
        <w:tc>
          <w:tcPr>
            <w:tcW w:w="0" w:type="auto"/>
            <w:vAlign w:val="center"/>
          </w:tcPr>
          <w:p w14:paraId="736CBE0A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為避免場地濕滑，整體設計應達到防漏水。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惟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雨天是否可教學、提供民眾使用需視當天狀況而定。</w:t>
            </w:r>
          </w:p>
        </w:tc>
        <w:tc>
          <w:tcPr>
            <w:tcW w:w="1324" w:type="dxa"/>
          </w:tcPr>
          <w:p w14:paraId="2DC381A4" w14:textId="77777777" w:rsidR="00A709C5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40513BBB" w14:textId="77777777" w:rsidR="005E4A21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076D55E5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1EBD50E5" w14:textId="77777777" w:rsidTr="00167AC5">
        <w:trPr>
          <w:trHeight w:val="454"/>
        </w:trPr>
        <w:tc>
          <w:tcPr>
            <w:tcW w:w="0" w:type="auto"/>
            <w:vMerge w:val="restart"/>
            <w:vAlign w:val="center"/>
          </w:tcPr>
          <w:p w14:paraId="6DAADFF2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結構系統</w:t>
            </w:r>
            <w:proofErr w:type="gramStart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與組件</w:t>
            </w:r>
            <w:proofErr w:type="gramEnd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設計</w:t>
            </w:r>
          </w:p>
        </w:tc>
        <w:tc>
          <w:tcPr>
            <w:tcW w:w="0" w:type="auto"/>
            <w:vAlign w:val="center"/>
          </w:tcPr>
          <w:p w14:paraId="4F5E38BB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6CB33479" w14:textId="77777777" w:rsidR="005E4A21" w:rsidRPr="00173C37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proofErr w:type="gramStart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屋架結構</w:t>
            </w:r>
            <w:proofErr w:type="gramEnd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：</w:t>
            </w:r>
            <w:proofErr w:type="gramStart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採</w:t>
            </w:r>
            <w:proofErr w:type="gramEnd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韌性</w:t>
            </w:r>
            <w:proofErr w:type="gramStart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抗彎矩</w:t>
            </w:r>
            <w:proofErr w:type="gramEnd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構架系統為地上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1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層鋼骨構造物。</w:t>
            </w:r>
          </w:p>
        </w:tc>
        <w:tc>
          <w:tcPr>
            <w:tcW w:w="1324" w:type="dxa"/>
          </w:tcPr>
          <w:p w14:paraId="31F0FE4B" w14:textId="77777777" w:rsidR="00A709C5" w:rsidRPr="00173C37" w:rsidRDefault="00A709C5" w:rsidP="00A709C5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 xml:space="preserve">  </w:t>
            </w: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0558524D" w14:textId="77777777" w:rsidR="005E4A21" w:rsidRPr="00173C37" w:rsidRDefault="00A709C5" w:rsidP="00A709C5">
            <w:pPr>
              <w:pStyle w:val="TableParagraph"/>
              <w:snapToGrid w:val="0"/>
              <w:spacing w:line="400" w:lineRule="exact"/>
              <w:ind w:right="96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2859F94A" w14:textId="77777777" w:rsidR="005E4A21" w:rsidRPr="00173C37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5E4A21" w:rsidRPr="00A243C7" w14:paraId="4C57D3F5" w14:textId="77777777" w:rsidTr="00167AC5">
        <w:trPr>
          <w:trHeight w:val="454"/>
        </w:trPr>
        <w:tc>
          <w:tcPr>
            <w:tcW w:w="0" w:type="auto"/>
            <w:vMerge/>
            <w:vAlign w:val="center"/>
          </w:tcPr>
          <w:p w14:paraId="5FD51FD4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0E330287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14:paraId="55F4A7D8" w14:textId="77777777" w:rsidR="005E4A21" w:rsidRPr="00173C37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風雨球場結構以鋼構為主，亦可採用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RC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柱結合鋼構支柱。</w:t>
            </w:r>
          </w:p>
        </w:tc>
        <w:tc>
          <w:tcPr>
            <w:tcW w:w="1324" w:type="dxa"/>
          </w:tcPr>
          <w:p w14:paraId="25D7E927" w14:textId="77777777" w:rsidR="00A709C5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67185548" w14:textId="77777777" w:rsidR="005E4A21" w:rsidRPr="00173C37" w:rsidRDefault="00A709C5" w:rsidP="00A709C5">
            <w:pPr>
              <w:pStyle w:val="TableParagraph"/>
              <w:snapToGrid w:val="0"/>
              <w:spacing w:line="400" w:lineRule="exact"/>
              <w:ind w:right="96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2B8C9C60" w14:textId="77777777" w:rsidR="005E4A21" w:rsidRPr="00173C37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5E4A21" w:rsidRPr="00A243C7" w14:paraId="3080A1B8" w14:textId="77777777" w:rsidTr="00167AC5">
        <w:trPr>
          <w:trHeight w:val="454"/>
        </w:trPr>
        <w:tc>
          <w:tcPr>
            <w:tcW w:w="0" w:type="auto"/>
            <w:vMerge/>
            <w:vAlign w:val="center"/>
          </w:tcPr>
          <w:p w14:paraId="606B49F9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0F01CBD9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14:paraId="52F5F702" w14:textId="77777777" w:rsidR="005E4A21" w:rsidRPr="00173C37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基礎型式得</w:t>
            </w:r>
            <w:proofErr w:type="gramStart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採</w:t>
            </w:r>
            <w:proofErr w:type="gramEnd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獨立基腳。</w:t>
            </w:r>
          </w:p>
        </w:tc>
        <w:tc>
          <w:tcPr>
            <w:tcW w:w="1324" w:type="dxa"/>
          </w:tcPr>
          <w:p w14:paraId="4111E3E3" w14:textId="77777777" w:rsidR="00A709C5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66606556" w14:textId="77777777" w:rsidR="005E4A21" w:rsidRPr="00173C37" w:rsidRDefault="00A709C5" w:rsidP="00A709C5">
            <w:pPr>
              <w:pStyle w:val="TableParagraph"/>
              <w:snapToGrid w:val="0"/>
              <w:spacing w:line="400" w:lineRule="exact"/>
              <w:ind w:right="96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1B1C8756" w14:textId="77777777" w:rsidR="005E4A21" w:rsidRPr="00173C37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5E4A21" w:rsidRPr="00A243C7" w14:paraId="5A653980" w14:textId="77777777" w:rsidTr="00167AC5">
        <w:trPr>
          <w:trHeight w:val="454"/>
        </w:trPr>
        <w:tc>
          <w:tcPr>
            <w:tcW w:w="0" w:type="auto"/>
            <w:vMerge/>
            <w:vAlign w:val="center"/>
          </w:tcPr>
          <w:p w14:paraId="51C8E184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22805E58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14:paraId="31B02432" w14:textId="77777777" w:rsidR="005E4A21" w:rsidRPr="00173C37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基礎底面應先鋪設高度至少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10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公分的墊底混凝土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(fc</w:t>
            </w:r>
            <w:proofErr w:type="gramStart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’≧</w:t>
            </w:r>
            <w:proofErr w:type="gramEnd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140kgf/cm2)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後方可進行</w:t>
            </w:r>
            <w:proofErr w:type="gramStart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放樣及</w:t>
            </w:r>
            <w:proofErr w:type="gramEnd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基礎版施工。</w:t>
            </w:r>
          </w:p>
        </w:tc>
        <w:tc>
          <w:tcPr>
            <w:tcW w:w="1324" w:type="dxa"/>
          </w:tcPr>
          <w:p w14:paraId="4D695DEB" w14:textId="77777777" w:rsidR="00A709C5" w:rsidRPr="00173C37" w:rsidRDefault="00A709C5" w:rsidP="00A709C5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 xml:space="preserve">  </w:t>
            </w: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5E44CC59" w14:textId="77777777" w:rsidR="005E4A21" w:rsidRPr="00173C37" w:rsidRDefault="00A709C5" w:rsidP="00A709C5">
            <w:pPr>
              <w:pStyle w:val="TableParagraph"/>
              <w:snapToGrid w:val="0"/>
              <w:spacing w:line="400" w:lineRule="exact"/>
              <w:ind w:right="96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10605338" w14:textId="77777777" w:rsidR="005E4A21" w:rsidRPr="00173C37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5E4A21" w:rsidRPr="00A243C7" w14:paraId="4CD62C08" w14:textId="77777777" w:rsidTr="00167AC5">
        <w:trPr>
          <w:trHeight w:val="454"/>
        </w:trPr>
        <w:tc>
          <w:tcPr>
            <w:tcW w:w="0" w:type="auto"/>
            <w:vMerge/>
            <w:vAlign w:val="center"/>
          </w:tcPr>
          <w:p w14:paraId="785BB924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71DA8B84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14:paraId="68274774" w14:textId="77777777" w:rsidR="005E4A21" w:rsidRPr="00173C37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結結構設計應符合「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建築物耐風設計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規範及解說」之規定，惟依據「國有公用不動產設置太陽光電發電設備租賃契約書」訂定基本設計風速在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32.5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公尺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/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秒以下地區者，須採用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32.5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公尺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/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秒之平均風速作為基本設計風速，另若高於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32.5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公尺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/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秒地區者，須採用各地區之平均風速作為基本設計風速，並考量陣風反應因子（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G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），由專業技師分別提供結構計算書與各式連結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(Connection)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安全檢核文件。</w:t>
            </w:r>
          </w:p>
        </w:tc>
        <w:tc>
          <w:tcPr>
            <w:tcW w:w="1324" w:type="dxa"/>
          </w:tcPr>
          <w:p w14:paraId="45ED1AC3" w14:textId="77777777" w:rsidR="00A709C5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34287AB7" w14:textId="77777777" w:rsidR="005E4A21" w:rsidRPr="00173C37" w:rsidRDefault="00A709C5" w:rsidP="00A709C5">
            <w:pPr>
              <w:pStyle w:val="TableParagraph"/>
              <w:snapToGrid w:val="0"/>
              <w:spacing w:line="400" w:lineRule="exact"/>
              <w:ind w:right="96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0FF88A16" w14:textId="77777777" w:rsidR="005E4A21" w:rsidRPr="00173C37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5E4A21" w:rsidRPr="00A243C7" w14:paraId="07773269" w14:textId="77777777" w:rsidTr="00167AC5">
        <w:trPr>
          <w:trHeight w:val="454"/>
        </w:trPr>
        <w:tc>
          <w:tcPr>
            <w:tcW w:w="0" w:type="auto"/>
            <w:vMerge/>
          </w:tcPr>
          <w:p w14:paraId="4F641808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4DFABEAD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</w:p>
        </w:tc>
        <w:tc>
          <w:tcPr>
            <w:tcW w:w="0" w:type="auto"/>
            <w:vAlign w:val="center"/>
          </w:tcPr>
          <w:p w14:paraId="2771CF89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結構設計是否依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建築物耐風設計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規範進行設計與檢核，其中用途係數（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I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），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採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I=1.1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（含）以上、陣風反應因子（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G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），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採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G=1.88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（含）作為設計與計算基礎</w:t>
            </w:r>
          </w:p>
        </w:tc>
        <w:tc>
          <w:tcPr>
            <w:tcW w:w="1324" w:type="dxa"/>
          </w:tcPr>
          <w:p w14:paraId="543388B2" w14:textId="77777777" w:rsidR="00A709C5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580FEAE8" w14:textId="77777777" w:rsidR="005E4A21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75B3A2BD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332FF940" w14:textId="77777777" w:rsidTr="00167AC5">
        <w:trPr>
          <w:trHeight w:val="454"/>
        </w:trPr>
        <w:tc>
          <w:tcPr>
            <w:tcW w:w="0" w:type="auto"/>
            <w:vMerge/>
          </w:tcPr>
          <w:p w14:paraId="02D5A277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58C66B2C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</w:tcPr>
          <w:p w14:paraId="4F0A5CD0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結構設計應符合「建築物耐震設計規範及解說」之規定，其中用途係數（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I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），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採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I=1.25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（含）以上作為設計與計算基礎</w:t>
            </w:r>
          </w:p>
        </w:tc>
        <w:tc>
          <w:tcPr>
            <w:tcW w:w="1324" w:type="dxa"/>
          </w:tcPr>
          <w:p w14:paraId="5B9782A2" w14:textId="77777777" w:rsidR="00A709C5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5E7B7058" w14:textId="77777777" w:rsidR="005E4A21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4091C499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5CAF8A7E" w14:textId="77777777" w:rsidTr="00167AC5">
        <w:trPr>
          <w:trHeight w:val="454"/>
        </w:trPr>
        <w:tc>
          <w:tcPr>
            <w:tcW w:w="0" w:type="auto"/>
            <w:vMerge/>
          </w:tcPr>
          <w:p w14:paraId="5279D3A8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26B9B1D8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3CE86ED4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螺絲組（包含螺絲、螺帽、平華司與彈簧華司等）是否為同一材質，可為熱浸鍍鋅或電鍍鋅材質或不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銹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鋼材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質等抗腐蝕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材質，並取得抗腐蝕品質測試報告</w:t>
            </w:r>
          </w:p>
        </w:tc>
        <w:tc>
          <w:tcPr>
            <w:tcW w:w="1324" w:type="dxa"/>
          </w:tcPr>
          <w:p w14:paraId="3BF0A02B" w14:textId="77777777" w:rsidR="00A709C5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193D73B4" w14:textId="77777777" w:rsidR="005E4A21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658C9150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4C34237A" w14:textId="77777777" w:rsidTr="00167AC5">
        <w:trPr>
          <w:trHeight w:val="454"/>
        </w:trPr>
        <w:tc>
          <w:tcPr>
            <w:tcW w:w="0" w:type="auto"/>
            <w:vMerge/>
          </w:tcPr>
          <w:p w14:paraId="5560FB35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04920EA1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7247D8F4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每一構件連結螺絲組是否包含抗腐蝕螺絲、至少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1 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片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彈簧華司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、至少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2 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片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平板華司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、至少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1 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個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抗腐蝕六角螺帽以及於六角螺帽上再套上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1 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個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抗腐蝕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六角蓋型螺帽</w:t>
            </w:r>
            <w:proofErr w:type="gramEnd"/>
          </w:p>
        </w:tc>
        <w:tc>
          <w:tcPr>
            <w:tcW w:w="1324" w:type="dxa"/>
          </w:tcPr>
          <w:p w14:paraId="495AF7C2" w14:textId="77777777" w:rsidR="00A709C5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41DFB5B4" w14:textId="77777777" w:rsidR="005E4A21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3E4A8744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6642F1F9" w14:textId="77777777" w:rsidTr="00167AC5">
        <w:trPr>
          <w:trHeight w:val="454"/>
        </w:trPr>
        <w:tc>
          <w:tcPr>
            <w:tcW w:w="0" w:type="auto"/>
            <w:vMerge w:val="restart"/>
            <w:vAlign w:val="center"/>
          </w:tcPr>
          <w:p w14:paraId="0741EF1E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支撐架金屬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基材耐腐蝕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性能</w:t>
            </w:r>
          </w:p>
        </w:tc>
        <w:tc>
          <w:tcPr>
            <w:tcW w:w="0" w:type="auto"/>
            <w:vAlign w:val="center"/>
          </w:tcPr>
          <w:p w14:paraId="077F05AD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2F098508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支撐架材質的選擇，下列兩項選擇：</w:t>
            </w:r>
          </w:p>
          <w:p w14:paraId="1B414CD0" w14:textId="77777777" w:rsidR="005E4A21" w:rsidRPr="00173C37" w:rsidRDefault="005E4A21" w:rsidP="00167AC5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260" w:hangingChars="100" w:hanging="2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若採用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鋼構基材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，應為一般結構用鋼材（如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ASTM A709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、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ASTM A36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、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A572 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等）或冷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軋鋼構材外加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表面防蝕處理，或耐候鋼材（如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ASTM A588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，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CNS 4620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，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JIS G3114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等）</w:t>
            </w:r>
          </w:p>
          <w:p w14:paraId="332C974A" w14:textId="77777777" w:rsidR="005E4A21" w:rsidRPr="00173C37" w:rsidRDefault="005E4A21" w:rsidP="00167AC5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260" w:hangingChars="100" w:hanging="2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若採用鋁合金鋁擠型基材，其鋁合金材質應為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6005T5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或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6001T6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以上之等級，並須符合結構安全要求</w:t>
            </w:r>
          </w:p>
        </w:tc>
        <w:tc>
          <w:tcPr>
            <w:tcW w:w="1324" w:type="dxa"/>
          </w:tcPr>
          <w:p w14:paraId="50B4AF8C" w14:textId="77777777" w:rsidR="00A709C5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3EBF7A81" w14:textId="77777777" w:rsidR="005E4A21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52CB8F3D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568D3A4E" w14:textId="77777777" w:rsidTr="00167AC5">
        <w:trPr>
          <w:trHeight w:val="454"/>
        </w:trPr>
        <w:tc>
          <w:tcPr>
            <w:tcW w:w="0" w:type="auto"/>
            <w:vMerge/>
          </w:tcPr>
          <w:p w14:paraId="3149BCFE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74E42673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14:paraId="6FA4033C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支撐架表面處理的選擇，下列兩項處理方式：</w:t>
            </w:r>
          </w:p>
          <w:p w14:paraId="021CFF93" w14:textId="77777777" w:rsidR="005E4A21" w:rsidRPr="00173C37" w:rsidRDefault="005E4A21" w:rsidP="00167AC5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260" w:hangingChars="100" w:hanging="2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鋼構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基材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表面處理，須以設置地點符合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ISO  9223 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之腐蝕環境分類等級，且至少以中度腐蝕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（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ISO  9223-C3)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等級以上為處理基準，並以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20 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（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含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）以上抗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腐蝕性能進行表面處理，並由專業機構提出施作說明與品質保證證明</w:t>
            </w:r>
          </w:p>
          <w:p w14:paraId="2D8557BC" w14:textId="77777777" w:rsidR="005E4A21" w:rsidRPr="00173C37" w:rsidRDefault="005E4A21" w:rsidP="00167AC5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260" w:hangingChars="100" w:hanging="2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鋁合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金鋁擠型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基材表面處理，其表面處理方式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採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陽極處理厚度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14µm 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以上及外加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一層膜厚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7µm 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以上之壓克力透明漆之表面防蝕處理，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除鋁擠型構材外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的鋁合金板、小配件等之表面處理方式可為陽極處理厚度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7µm 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以上及外加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一層膜厚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7µm 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以上之壓克力透明漆，且皆需取得具有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TAF </w:t>
            </w: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認可之測試實驗室測試合格報告</w:t>
            </w:r>
          </w:p>
        </w:tc>
        <w:tc>
          <w:tcPr>
            <w:tcW w:w="1324" w:type="dxa"/>
          </w:tcPr>
          <w:p w14:paraId="6F839D04" w14:textId="77777777" w:rsidR="00A709C5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272B8B81" w14:textId="77777777" w:rsidR="005E4A21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4C93A0D0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7728ABA6" w14:textId="77777777" w:rsidTr="00167AC5">
        <w:trPr>
          <w:trHeight w:val="454"/>
        </w:trPr>
        <w:tc>
          <w:tcPr>
            <w:tcW w:w="0" w:type="auto"/>
            <w:vMerge/>
          </w:tcPr>
          <w:p w14:paraId="0302AE03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18DA5D3E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14:paraId="0C37D731" w14:textId="77777777" w:rsidR="005E4A21" w:rsidRPr="00173C37" w:rsidRDefault="005E4A21" w:rsidP="00167AC5">
            <w:pPr>
              <w:pStyle w:val="a5"/>
              <w:overflowPunct w:val="0"/>
              <w:spacing w:line="400" w:lineRule="exact"/>
              <w:ind w:left="0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173C3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依</w:t>
            </w:r>
            <w:r w:rsidRPr="00173C3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ISO 9224</w:t>
            </w:r>
            <w:r w:rsidRPr="00173C3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金屬材質的腐蝕速率進行防蝕設計，惟至少應以中度腐蝕（</w:t>
            </w:r>
            <w:r w:rsidRPr="00173C3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ISO 9223-C3</w:t>
            </w:r>
            <w:r w:rsidRPr="00173C3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）等級以上的腐蝕環境</w:t>
            </w:r>
            <w:r w:rsidRPr="00173C37">
              <w:rPr>
                <w:rFonts w:ascii="Times New Roman" w:eastAsia="標楷體" w:hAnsi="Times New Roman" w:cs="Times New Roman" w:hint="eastAsia"/>
                <w:kern w:val="2"/>
                <w:sz w:val="26"/>
                <w:szCs w:val="26"/>
                <w:lang w:eastAsia="zh-TW"/>
              </w:rPr>
              <w:t>進行</w:t>
            </w:r>
            <w:r w:rsidRPr="00173C37"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  <w:t>設計</w:t>
            </w:r>
            <w:r w:rsidRPr="00173C37">
              <w:rPr>
                <w:rFonts w:ascii="Times New Roman" w:eastAsia="標楷體" w:hAnsi="Times New Roman" w:cs="Times New Roman" w:hint="eastAsia"/>
                <w:kern w:val="2"/>
                <w:sz w:val="26"/>
                <w:szCs w:val="26"/>
                <w:lang w:eastAsia="zh-TW"/>
              </w:rPr>
              <w:t>，由專業機構提出說明與品保證明，若縣市</w:t>
            </w:r>
            <w:r w:rsidRPr="00173C37">
              <w:rPr>
                <w:rFonts w:ascii="Times New Roman" w:eastAsia="標楷體" w:hAnsi="Times New Roman" w:cs="Times New Roman" w:hint="eastAsia"/>
                <w:kern w:val="2"/>
                <w:sz w:val="26"/>
                <w:szCs w:val="26"/>
                <w:lang w:eastAsia="zh-TW"/>
              </w:rPr>
              <w:t>/</w:t>
            </w:r>
            <w:r w:rsidRPr="00173C37">
              <w:rPr>
                <w:rFonts w:ascii="Times New Roman" w:eastAsia="標楷體" w:hAnsi="Times New Roman" w:cs="Times New Roman" w:hint="eastAsia"/>
                <w:kern w:val="2"/>
                <w:sz w:val="26"/>
                <w:szCs w:val="26"/>
                <w:lang w:eastAsia="zh-TW"/>
              </w:rPr>
              <w:t>學校處於</w:t>
            </w:r>
            <w:r w:rsidRPr="00173C37">
              <w:rPr>
                <w:rFonts w:ascii="Times New Roman" w:eastAsia="標楷體" w:hAnsi="Times New Roman" w:cs="Times New Roman" w:hint="eastAsia"/>
                <w:kern w:val="2"/>
                <w:sz w:val="26"/>
                <w:szCs w:val="26"/>
                <w:lang w:eastAsia="zh-TW"/>
              </w:rPr>
              <w:t>C3</w:t>
            </w:r>
            <w:r w:rsidRPr="00173C37">
              <w:rPr>
                <w:rFonts w:ascii="Times New Roman" w:eastAsia="標楷體" w:hAnsi="Times New Roman" w:cs="Times New Roman" w:hint="eastAsia"/>
                <w:kern w:val="2"/>
                <w:sz w:val="26"/>
                <w:szCs w:val="26"/>
                <w:lang w:eastAsia="zh-TW"/>
              </w:rPr>
              <w:t>腐蝕環境以上之等級，可參考臺灣腐蝕環境分類資訊系統</w:t>
            </w:r>
            <w:r w:rsidRPr="00173C37">
              <w:rPr>
                <w:rFonts w:ascii="Times New Roman" w:eastAsia="標楷體" w:hAnsi="Times New Roman" w:cs="Times New Roman" w:hint="eastAsia"/>
                <w:kern w:val="2"/>
                <w:sz w:val="26"/>
                <w:szCs w:val="26"/>
                <w:lang w:eastAsia="zh-TW"/>
              </w:rPr>
              <w:t>/</w:t>
            </w:r>
            <w:r w:rsidRPr="00173C37">
              <w:rPr>
                <w:rFonts w:ascii="Times New Roman" w:eastAsia="標楷體" w:hAnsi="Times New Roman" w:cs="Times New Roman" w:hint="eastAsia"/>
                <w:kern w:val="2"/>
                <w:sz w:val="26"/>
                <w:szCs w:val="26"/>
                <w:lang w:eastAsia="zh-TW"/>
              </w:rPr>
              <w:t>大氣腐蝕年報表，進行防腐蝕評估。</w:t>
            </w:r>
          </w:p>
        </w:tc>
        <w:tc>
          <w:tcPr>
            <w:tcW w:w="1324" w:type="dxa"/>
          </w:tcPr>
          <w:p w14:paraId="554717BD" w14:textId="77777777" w:rsidR="00A709C5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23669C8E" w14:textId="77777777" w:rsidR="005E4A21" w:rsidRPr="00173C37" w:rsidRDefault="00A709C5" w:rsidP="00A709C5">
            <w:pPr>
              <w:pStyle w:val="a5"/>
              <w:overflowPunct w:val="0"/>
              <w:spacing w:line="400" w:lineRule="exact"/>
              <w:ind w:left="0"/>
              <w:jc w:val="center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3290C6D5" w14:textId="77777777" w:rsidR="005E4A21" w:rsidRPr="00173C37" w:rsidRDefault="005E4A21" w:rsidP="00167AC5">
            <w:pPr>
              <w:pStyle w:val="a5"/>
              <w:overflowPunct w:val="0"/>
              <w:spacing w:line="400" w:lineRule="exact"/>
              <w:ind w:left="0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  <w:lang w:eastAsia="zh-TW"/>
              </w:rPr>
            </w:pPr>
          </w:p>
        </w:tc>
      </w:tr>
      <w:tr w:rsidR="005E4A21" w:rsidRPr="00A243C7" w14:paraId="77783280" w14:textId="77777777" w:rsidTr="00167AC5">
        <w:trPr>
          <w:trHeight w:val="454"/>
        </w:trPr>
        <w:tc>
          <w:tcPr>
            <w:tcW w:w="0" w:type="auto"/>
            <w:vMerge w:val="restart"/>
            <w:vAlign w:val="center"/>
          </w:tcPr>
          <w:p w14:paraId="6E4DEA13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太陽光電模組</w:t>
            </w:r>
          </w:p>
        </w:tc>
        <w:tc>
          <w:tcPr>
            <w:tcW w:w="0" w:type="auto"/>
            <w:vAlign w:val="center"/>
          </w:tcPr>
          <w:p w14:paraId="3E19D4F6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000BB72A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太陽光電模組產品須全數符合經濟部標檢局「台灣高效能太陽光電模組技術規範」自願性產品驗證及通過「太陽光電自願性產品驗證工廠檢查特定規範」</w:t>
            </w:r>
          </w:p>
        </w:tc>
        <w:tc>
          <w:tcPr>
            <w:tcW w:w="1324" w:type="dxa"/>
          </w:tcPr>
          <w:p w14:paraId="5C7E78E8" w14:textId="77777777" w:rsidR="00A709C5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7AF15464" w14:textId="77777777" w:rsidR="005E4A21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173F6E53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279A28CA" w14:textId="77777777" w:rsidTr="00167AC5">
        <w:trPr>
          <w:trHeight w:val="454"/>
        </w:trPr>
        <w:tc>
          <w:tcPr>
            <w:tcW w:w="0" w:type="auto"/>
            <w:vMerge/>
          </w:tcPr>
          <w:p w14:paraId="59365C39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157CDD23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14:paraId="723C46CD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系統規格要求根據「用戶用電設備裝置規則」內太陽能系統專章。</w:t>
            </w:r>
            <w:r w:rsidRPr="00173C37">
              <w:rPr>
                <w:rFonts w:ascii="Times New Roman" w:eastAsia="標楷體" w:hAnsi="Times New Roman" w:cs="Times New Roman"/>
                <w:kern w:val="2"/>
                <w:sz w:val="26"/>
                <w:szCs w:val="26"/>
              </w:rPr>
              <w:t>並另提出電機工程技師簽證。</w:t>
            </w:r>
          </w:p>
        </w:tc>
        <w:tc>
          <w:tcPr>
            <w:tcW w:w="1324" w:type="dxa"/>
          </w:tcPr>
          <w:p w14:paraId="0D75246E" w14:textId="77777777" w:rsidR="00A709C5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62035079" w14:textId="77777777" w:rsidR="005E4A21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34331ADC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313C26FA" w14:textId="77777777" w:rsidTr="00167AC5">
        <w:trPr>
          <w:trHeight w:val="454"/>
        </w:trPr>
        <w:tc>
          <w:tcPr>
            <w:tcW w:w="0" w:type="auto"/>
            <w:vMerge/>
          </w:tcPr>
          <w:p w14:paraId="601B9011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1C72CF58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14:paraId="7B891D69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太陽光電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模組鋁框與鋼構材接觸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位置是否加裝鐵氟龍絕緣墊片以隔開二者，避免產生電位差腐蝕</w:t>
            </w:r>
          </w:p>
        </w:tc>
        <w:tc>
          <w:tcPr>
            <w:tcW w:w="1324" w:type="dxa"/>
          </w:tcPr>
          <w:p w14:paraId="563A390F" w14:textId="77777777" w:rsidR="00A709C5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12ABCE4B" w14:textId="77777777" w:rsidR="005E4A21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6415BE8E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63CCD62D" w14:textId="77777777" w:rsidTr="00167AC5">
        <w:trPr>
          <w:trHeight w:val="454"/>
        </w:trPr>
        <w:tc>
          <w:tcPr>
            <w:tcW w:w="0" w:type="auto"/>
            <w:vMerge/>
          </w:tcPr>
          <w:p w14:paraId="6BB0130B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5CD77F1C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14:paraId="52344796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螺絲組與太陽光電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模組鋁框接觸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處之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平板華司下方</w:t>
            </w:r>
            <w:proofErr w:type="gramEnd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應再加裝鐵氟龍絕緣墊片以隔開螺絲組及</w:t>
            </w:r>
            <w:proofErr w:type="gramStart"/>
            <w:r w:rsidRPr="00173C37">
              <w:rPr>
                <w:rFonts w:ascii="Times New Roman" w:eastAsia="標楷體" w:hAnsi="Times New Roman" w:cs="Times New Roman"/>
                <w:sz w:val="26"/>
                <w:szCs w:val="26"/>
              </w:rPr>
              <w:t>模組鋁框</w:t>
            </w:r>
            <w:proofErr w:type="gramEnd"/>
          </w:p>
        </w:tc>
        <w:tc>
          <w:tcPr>
            <w:tcW w:w="1324" w:type="dxa"/>
          </w:tcPr>
          <w:p w14:paraId="3AAB2D58" w14:textId="77777777" w:rsidR="00A709C5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53F7595E" w14:textId="77777777" w:rsidR="005E4A21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532C412A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E4A21" w:rsidRPr="00A243C7" w14:paraId="5B8AD7D9" w14:textId="77777777" w:rsidTr="00167AC5">
        <w:trPr>
          <w:trHeight w:val="2000"/>
        </w:trPr>
        <w:tc>
          <w:tcPr>
            <w:tcW w:w="0" w:type="auto"/>
            <w:vMerge/>
          </w:tcPr>
          <w:p w14:paraId="44416818" w14:textId="77777777" w:rsidR="005E4A21" w:rsidRPr="00173C37" w:rsidRDefault="005E4A21" w:rsidP="00167AC5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1C434234" w14:textId="77777777" w:rsidR="005E4A21" w:rsidRPr="00173C37" w:rsidRDefault="005E4A21" w:rsidP="00167A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14:paraId="5B4F846E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單一模組與支撐架正面連結（上扣）及背部連結（下鎖）的固定組件共計需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8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個點以上。如太陽能光電模組距離屋頂面最高高度超過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0.3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公尺以下之系統，單一模組與支撐架正面連結（上扣）必須與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根支架組件（位於模組上中下側）連結固定，</w:t>
            </w:r>
            <w:proofErr w:type="gramStart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連結扣件共計</w:t>
            </w:r>
            <w:proofErr w:type="gramEnd"/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需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173C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組以上。</w:t>
            </w:r>
          </w:p>
        </w:tc>
        <w:tc>
          <w:tcPr>
            <w:tcW w:w="1324" w:type="dxa"/>
          </w:tcPr>
          <w:p w14:paraId="14984B00" w14:textId="77777777" w:rsidR="00A709C5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是</w:t>
            </w:r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31820D14" w14:textId="77777777" w:rsidR="005E4A21" w:rsidRPr="00173C37" w:rsidRDefault="00A709C5" w:rsidP="00A709C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173C3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173C37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653C7614" w14:textId="77777777" w:rsidR="005E4A21" w:rsidRPr="00173C37" w:rsidRDefault="005E4A21" w:rsidP="00167AC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78877FF6" w14:textId="77777777" w:rsidR="005E4A21" w:rsidRPr="00173C37" w:rsidRDefault="005E4A21" w:rsidP="005E4A21">
      <w:pPr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proofErr w:type="gramStart"/>
      <w:r w:rsidRPr="00173C3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註</w:t>
      </w:r>
      <w:proofErr w:type="gramEnd"/>
      <w:r w:rsidRPr="00173C3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：檢驗結果須全部為是，若</w:t>
      </w:r>
      <w:proofErr w:type="gramStart"/>
      <w:r w:rsidRPr="00173C3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有否者</w:t>
      </w:r>
      <w:proofErr w:type="gramEnd"/>
      <w:r w:rsidRPr="00173C3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，則需由得標廠商盡速修正，以完成檢</w:t>
      </w:r>
      <w:r w:rsidRPr="00173C37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驗</w:t>
      </w:r>
      <w:r w:rsidRPr="00173C3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bookmarkEnd w:id="1"/>
    <w:p w14:paraId="0145024C" w14:textId="77777777" w:rsidR="00434052" w:rsidRPr="005E4A21" w:rsidRDefault="00434052"/>
    <w:sectPr w:rsidR="00434052" w:rsidRPr="005E4A21" w:rsidSect="005E4A2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6AA7C" w14:textId="77777777" w:rsidR="00116A92" w:rsidRDefault="00116A92" w:rsidP="00751C16">
      <w:pPr>
        <w:spacing w:line="240" w:lineRule="auto"/>
      </w:pPr>
      <w:r>
        <w:separator/>
      </w:r>
    </w:p>
  </w:endnote>
  <w:endnote w:type="continuationSeparator" w:id="0">
    <w:p w14:paraId="3B2A6856" w14:textId="77777777" w:rsidR="00116A92" w:rsidRDefault="00116A92" w:rsidP="00751C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JP Regular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E411D" w14:textId="77777777" w:rsidR="00116A92" w:rsidRDefault="00116A92" w:rsidP="00751C16">
      <w:pPr>
        <w:spacing w:line="240" w:lineRule="auto"/>
      </w:pPr>
      <w:r>
        <w:separator/>
      </w:r>
    </w:p>
  </w:footnote>
  <w:footnote w:type="continuationSeparator" w:id="0">
    <w:p w14:paraId="762E1078" w14:textId="77777777" w:rsidR="00116A92" w:rsidRDefault="00116A92" w:rsidP="00751C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FE1"/>
    <w:multiLevelType w:val="hybridMultilevel"/>
    <w:tmpl w:val="62B2AB98"/>
    <w:lvl w:ilvl="0" w:tplc="844E395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CA5B53"/>
    <w:multiLevelType w:val="hybridMultilevel"/>
    <w:tmpl w:val="70E8FCC0"/>
    <w:lvl w:ilvl="0" w:tplc="5ED200F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A21"/>
    <w:rsid w:val="000B2AA6"/>
    <w:rsid w:val="00116A92"/>
    <w:rsid w:val="00173C37"/>
    <w:rsid w:val="00434052"/>
    <w:rsid w:val="005E4A21"/>
    <w:rsid w:val="00751C16"/>
    <w:rsid w:val="00A709C5"/>
    <w:rsid w:val="00A7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8D3F1"/>
  <w15:chartTrackingRefBased/>
  <w15:docId w15:val="{617D89AA-E961-4455-BD09-03A4D89A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A21"/>
    <w:pPr>
      <w:spacing w:line="276" w:lineRule="auto"/>
      <w:contextualSpacing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E4A21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5E4A21"/>
    <w:rPr>
      <w:rFonts w:ascii="Arial" w:hAnsi="Arial" w:cs="Arial"/>
      <w:kern w:val="0"/>
      <w:sz w:val="22"/>
    </w:rPr>
  </w:style>
  <w:style w:type="paragraph" w:styleId="a5">
    <w:name w:val="Body Text"/>
    <w:basedOn w:val="a"/>
    <w:link w:val="a6"/>
    <w:uiPriority w:val="1"/>
    <w:unhideWhenUsed/>
    <w:qFormat/>
    <w:rsid w:val="005E4A21"/>
    <w:pPr>
      <w:widowControl w:val="0"/>
      <w:autoSpaceDE w:val="0"/>
      <w:autoSpaceDN w:val="0"/>
      <w:spacing w:line="240" w:lineRule="auto"/>
      <w:ind w:left="1212"/>
      <w:contextualSpacing w:val="0"/>
    </w:pPr>
    <w:rPr>
      <w:rFonts w:ascii="Noto Sans CJK JP Regular" w:eastAsia="Noto Sans CJK JP Regular" w:hAnsi="Noto Sans CJK JP Regular" w:cs="Noto Sans CJK JP Regular"/>
      <w:sz w:val="24"/>
      <w:szCs w:val="24"/>
      <w:lang w:eastAsia="en-US"/>
    </w:rPr>
  </w:style>
  <w:style w:type="character" w:customStyle="1" w:styleId="a6">
    <w:name w:val="本文 字元"/>
    <w:basedOn w:val="a0"/>
    <w:link w:val="a5"/>
    <w:uiPriority w:val="1"/>
    <w:rsid w:val="005E4A21"/>
    <w:rPr>
      <w:rFonts w:ascii="Noto Sans CJK JP Regular" w:eastAsia="Noto Sans CJK JP Regular" w:hAnsi="Noto Sans CJK JP Regular" w:cs="Noto Sans CJK JP Regular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4A21"/>
    <w:pPr>
      <w:widowControl w:val="0"/>
      <w:autoSpaceDE w:val="0"/>
      <w:autoSpaceDN w:val="0"/>
      <w:spacing w:line="240" w:lineRule="auto"/>
      <w:contextualSpacing w:val="0"/>
    </w:pPr>
    <w:rPr>
      <w:rFonts w:ascii="Noto Sans CJK JP Regular" w:eastAsia="Noto Sans CJK JP Regular" w:hAnsi="Noto Sans CJK JP Regular" w:cs="Noto Sans CJK JP Regular"/>
      <w:lang w:eastAsia="en-US"/>
    </w:rPr>
  </w:style>
  <w:style w:type="paragraph" w:styleId="a7">
    <w:name w:val="header"/>
    <w:basedOn w:val="a"/>
    <w:link w:val="a8"/>
    <w:uiPriority w:val="99"/>
    <w:unhideWhenUsed/>
    <w:rsid w:val="00751C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51C16"/>
    <w:rPr>
      <w:rFonts w:ascii="Arial" w:hAnsi="Arial" w:cs="Arial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1C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51C16"/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鐘瀞文</dc:creator>
  <cp:keywords/>
  <dc:description/>
  <cp:lastModifiedBy>5a88UEFI</cp:lastModifiedBy>
  <cp:revision>6</cp:revision>
  <dcterms:created xsi:type="dcterms:W3CDTF">2019-12-25T03:14:00Z</dcterms:created>
  <dcterms:modified xsi:type="dcterms:W3CDTF">2023-04-18T03:52:00Z</dcterms:modified>
</cp:coreProperties>
</file>