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21" w:rsidRDefault="005E4A21" w:rsidP="005E4A21">
      <w:pPr>
        <w:spacing w:line="500" w:lineRule="exact"/>
        <w:jc w:val="center"/>
        <w:textDirection w:val="lrTbV"/>
        <w:rPr>
          <w:rFonts w:ascii="標楷體" w:eastAsia="標楷體" w:hAnsi="標楷體"/>
          <w:b/>
          <w:bCs/>
          <w:sz w:val="32"/>
          <w:szCs w:val="32"/>
        </w:rPr>
      </w:pPr>
      <w:r w:rsidRPr="00EA4DE0">
        <w:rPr>
          <w:rFonts w:eastAsia="標楷體" w:hint="eastAsia"/>
          <w:b/>
          <w:sz w:val="32"/>
          <w:szCs w:val="32"/>
        </w:rPr>
        <w:t>嘉義</w:t>
      </w:r>
      <w:r>
        <w:rPr>
          <w:rFonts w:eastAsia="標楷體" w:hint="eastAsia"/>
          <w:b/>
          <w:sz w:val="32"/>
          <w:szCs w:val="32"/>
        </w:rPr>
        <w:t>縣</w:t>
      </w:r>
      <w:r w:rsidRPr="00B66D86">
        <w:rPr>
          <w:rFonts w:ascii="標楷體" w:eastAsia="標楷體" w:hAnsi="標楷體" w:hint="eastAsia"/>
          <w:b/>
          <w:bCs/>
          <w:sz w:val="32"/>
          <w:szCs w:val="32"/>
        </w:rPr>
        <w:t>政府所屬學校設置太陽光電發電設備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公開標租</w:t>
      </w:r>
    </w:p>
    <w:p w:rsidR="005E4A21" w:rsidRPr="005E4A2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E4A21">
        <w:rPr>
          <w:rFonts w:ascii="標楷體" w:eastAsia="標楷體" w:hAnsi="標楷體" w:cs="Times New Roman"/>
          <w:b/>
          <w:sz w:val="32"/>
          <w:szCs w:val="32"/>
        </w:rPr>
        <w:t>太陽光電發電</w:t>
      </w:r>
      <w:r w:rsidRPr="005E4A21">
        <w:rPr>
          <w:rFonts w:ascii="標楷體" w:eastAsia="標楷體" w:hAnsi="標楷體" w:cs="Times New Roman" w:hint="eastAsia"/>
          <w:b/>
          <w:sz w:val="32"/>
          <w:szCs w:val="32"/>
        </w:rPr>
        <w:t>系統及</w:t>
      </w:r>
      <w:r w:rsidRPr="005E4A21">
        <w:rPr>
          <w:rFonts w:ascii="標楷體" w:eastAsia="標楷體" w:hAnsi="標楷體" w:cs="Times New Roman"/>
          <w:b/>
          <w:sz w:val="32"/>
          <w:szCs w:val="32"/>
        </w:rPr>
        <w:t>設備檢驗表</w:t>
      </w:r>
    </w:p>
    <w:p w:rsidR="005E4A21" w:rsidRDefault="005E4A21" w:rsidP="005E4A21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E4A21" w:rsidRDefault="005E4A21" w:rsidP="005E4A21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設置地址：</w:t>
      </w:r>
    </w:p>
    <w:p w:rsidR="005E4A21" w:rsidRPr="00A243C7" w:rsidRDefault="005E4A21" w:rsidP="005E4A21">
      <w:pPr>
        <w:spacing w:line="500" w:lineRule="exact"/>
        <w:jc w:val="both"/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設置容量：單一模組裝置容量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_____</w:t>
      </w:r>
      <w:proofErr w:type="gramStart"/>
      <w:r w:rsidRPr="00A243C7"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，總裝置容量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______</w:t>
      </w:r>
      <w:proofErr w:type="gramStart"/>
      <w:r w:rsidRPr="00A243C7"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</w:p>
    <w:p w:rsidR="005E4A21" w:rsidRPr="00A71DA3" w:rsidRDefault="005E4A21" w:rsidP="00A71DA3">
      <w:pPr>
        <w:spacing w:line="5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本案業已於中華民國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年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月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</w:t>
      </w:r>
      <w:proofErr w:type="gramStart"/>
      <w:r w:rsidRPr="00A243C7">
        <w:rPr>
          <w:rFonts w:ascii="Times New Roman" w:eastAsia="標楷體" w:hAnsi="Times New Roman" w:cs="Times New Roman"/>
          <w:sz w:val="28"/>
          <w:szCs w:val="28"/>
        </w:rPr>
        <w:t>日按圖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施工完竣，經本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________(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建築師、土木技師或結構技師</w:t>
      </w:r>
      <w:r w:rsidRPr="00A243C7">
        <w:rPr>
          <w:rFonts w:ascii="Times New Roman" w:eastAsia="標楷體" w:hAnsi="Times New Roman" w:cs="Times New Roman"/>
          <w:sz w:val="28"/>
          <w:szCs w:val="28"/>
        </w:rPr>
        <w:t>)</w:t>
      </w:r>
      <w:r w:rsidRPr="00A243C7">
        <w:rPr>
          <w:rFonts w:ascii="Times New Roman" w:eastAsia="標楷體" w:hAnsi="Times New Roman" w:cs="Times New Roman"/>
          <w:sz w:val="28"/>
          <w:szCs w:val="28"/>
        </w:rPr>
        <w:t>確認太陽光電發電設備之主結構、隔絕要求、太陽能模組、支撐架結構</w:t>
      </w:r>
      <w:proofErr w:type="gramStart"/>
      <w:r w:rsidRPr="00A243C7">
        <w:rPr>
          <w:rFonts w:ascii="Times New Roman" w:eastAsia="標楷體" w:hAnsi="Times New Roman" w:cs="Times New Roman"/>
          <w:sz w:val="28"/>
          <w:szCs w:val="28"/>
        </w:rPr>
        <w:t>與組件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、材質，符合「</w:t>
      </w:r>
      <w:r w:rsidR="00A71DA3" w:rsidRPr="00A71DA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嘉義縣政府所屬學校設置太陽光電發電設備公開標租租賃契約書</w:t>
      </w:r>
      <w:r w:rsidRPr="00A243C7">
        <w:rPr>
          <w:rFonts w:ascii="Times New Roman" w:eastAsia="標楷體" w:hAnsi="Times New Roman" w:cs="Times New Roman"/>
          <w:sz w:val="28"/>
          <w:szCs w:val="28"/>
        </w:rPr>
        <w:t>」第二條之規定。</w:t>
      </w:r>
    </w:p>
    <w:p w:rsidR="005E4A21" w:rsidRPr="00A243C7" w:rsidRDefault="005E4A21" w:rsidP="005E4A21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A71DA3" w:rsidP="005E4A21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9132A" wp14:editId="22911850">
                <wp:simplePos x="0" y="0"/>
                <wp:positionH relativeFrom="column">
                  <wp:posOffset>4198620</wp:posOffset>
                </wp:positionH>
                <wp:positionV relativeFrom="paragraph">
                  <wp:posOffset>92710</wp:posOffset>
                </wp:positionV>
                <wp:extent cx="1208598" cy="1160891"/>
                <wp:effectExtent l="0" t="0" r="10795" b="2032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43734" id="矩形 47" o:spid="_x0000_s1026" style="position:absolute;margin-left:330.6pt;margin-top:7.3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" filled="f" strokecolor="black [3213]" strokeweight="1pt">
                <v:stroke dashstyle="dash"/>
              </v:rect>
            </w:pict>
          </mc:Fallback>
        </mc:AlternateContent>
      </w:r>
      <w:r w:rsidR="005E4A21" w:rsidRPr="00A243C7">
        <w:rPr>
          <w:rFonts w:ascii="Times New Roman" w:eastAsia="標楷體" w:hAnsi="Times New Roman" w:cs="Times New Roman"/>
          <w:sz w:val="28"/>
          <w:szCs w:val="28"/>
        </w:rPr>
        <w:t>簽名或蓋章：</w:t>
      </w:r>
    </w:p>
    <w:p w:rsidR="005E4A21" w:rsidRPr="00A243C7" w:rsidRDefault="00A71DA3" w:rsidP="005E4A21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D69DA" wp14:editId="0AC2815A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1097170" cy="326004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A21" w:rsidRPr="00122093" w:rsidRDefault="005E4A21" w:rsidP="005E4A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D69DA" id="_x0000_t202" coordsize="21600,21600" o:spt="202" path="m,l,21600r21600,l21600,xe">
                <v:stroke joinstyle="miter"/>
                <v:path gradientshapeok="t" o:connecttype="rect"/>
              </v:shapetype>
              <v:shape id="文字方塊 46" o:spid="_x0000_s1026" type="#_x0000_t202" style="position:absolute;margin-left:342pt;margin-top: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" filled="f" stroked="f" strokeweight=".5pt">
                <v:textbox>
                  <w:txbxContent>
                    <w:p w:rsidR="005E4A21" w:rsidRPr="00122093" w:rsidRDefault="005E4A21" w:rsidP="005E4A21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 w:rsidR="005E4A21" w:rsidRPr="00A243C7">
        <w:rPr>
          <w:rFonts w:ascii="Times New Roman" w:eastAsia="標楷體" w:hAnsi="Times New Roman" w:cs="Times New Roman"/>
          <w:sz w:val="28"/>
          <w:szCs w:val="28"/>
        </w:rPr>
        <w:t>開業</w:t>
      </w:r>
      <w:r w:rsidR="005E4A21" w:rsidRPr="00A243C7">
        <w:rPr>
          <w:rFonts w:ascii="Times New Roman" w:eastAsia="標楷體" w:hAnsi="Times New Roman" w:cs="Times New Roman"/>
          <w:sz w:val="28"/>
          <w:szCs w:val="28"/>
        </w:rPr>
        <w:t>/</w:t>
      </w:r>
      <w:r w:rsidR="005E4A21" w:rsidRPr="00A243C7">
        <w:rPr>
          <w:rFonts w:ascii="Times New Roman" w:eastAsia="標楷體" w:hAnsi="Times New Roman" w:cs="Times New Roman"/>
          <w:sz w:val="28"/>
          <w:szCs w:val="28"/>
        </w:rPr>
        <w:t>執業執照號碼：</w:t>
      </w:r>
    </w:p>
    <w:p w:rsidR="005E4A21" w:rsidRPr="00A243C7" w:rsidRDefault="005E4A21" w:rsidP="005E4A21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事務所名稱：</w:t>
      </w: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E4A21" w:rsidRPr="00A243C7" w:rsidRDefault="005E4A21" w:rsidP="005E4A21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年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月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5E4A21" w:rsidRDefault="005E4A21" w:rsidP="005E4A21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Toc4666256"/>
    </w:p>
    <w:bookmarkEnd w:id="0"/>
    <w:p w:rsidR="005E4A21" w:rsidRPr="000B2AA6" w:rsidRDefault="00A71DA3" w:rsidP="005E4A21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2AA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嘉義</w:t>
      </w:r>
      <w:r w:rsidR="005E4A21" w:rsidRPr="000B2AA6">
        <w:rPr>
          <w:rFonts w:ascii="Times New Roman" w:eastAsia="標楷體" w:hAnsi="Times New Roman" w:cs="Times New Roman"/>
          <w:b/>
          <w:sz w:val="32"/>
          <w:szCs w:val="32"/>
        </w:rPr>
        <w:t>縣所屬學校設置</w:t>
      </w:r>
      <w:r w:rsidRPr="000B2AA6">
        <w:rPr>
          <w:rFonts w:ascii="標楷體" w:eastAsia="標楷體" w:hAnsi="標楷體" w:hint="eastAsia"/>
          <w:b/>
          <w:bCs/>
          <w:sz w:val="32"/>
          <w:szCs w:val="32"/>
        </w:rPr>
        <w:t>太陽光電發電設備</w:t>
      </w:r>
      <w:r w:rsidR="005E4A21" w:rsidRPr="000B2AA6">
        <w:rPr>
          <w:rFonts w:ascii="Times New Roman" w:eastAsia="標楷體" w:hAnsi="Times New Roman" w:cs="Times New Roman"/>
          <w:b/>
          <w:sz w:val="32"/>
          <w:szCs w:val="32"/>
        </w:rPr>
        <w:t>檢驗項目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26"/>
        <w:gridCol w:w="7470"/>
        <w:gridCol w:w="1324"/>
        <w:gridCol w:w="709"/>
      </w:tblGrid>
      <w:tr w:rsidR="005E4A21" w:rsidRPr="00A243C7" w:rsidTr="00167AC5">
        <w:trPr>
          <w:trHeight w:val="210"/>
        </w:trPr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1" w:name="_Hlk17280654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類別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項次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項目</w:t>
            </w:r>
            <w:bookmarkStart w:id="2" w:name="_GoBack"/>
            <w:bookmarkEnd w:id="2"/>
          </w:p>
        </w:tc>
        <w:tc>
          <w:tcPr>
            <w:tcW w:w="1324" w:type="dxa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檢查</w:t>
            </w:r>
          </w:p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結果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</w:tr>
      <w:tr w:rsidR="005E4A21" w:rsidRPr="00A243C7" w:rsidTr="00167AC5">
        <w:trPr>
          <w:trHeight w:val="302"/>
        </w:trPr>
        <w:tc>
          <w:tcPr>
            <w:tcW w:w="0" w:type="auto"/>
            <w:vMerge w:val="restart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半戶外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球場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設計與隔絕要求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設置太陽能光電風雨球場，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結構柱高起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算點為屋頂下緣起算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公尺，且太陽能光電發電系統須完整覆蓋整個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施作標的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球場。</w:t>
            </w:r>
          </w:p>
        </w:tc>
        <w:tc>
          <w:tcPr>
            <w:tcW w:w="1324" w:type="dxa"/>
            <w:vAlign w:val="center"/>
          </w:tcPr>
          <w:p w:rsidR="005E4A21" w:rsidRPr="00173C37" w:rsidRDefault="005E4A21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="00A709C5"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5E4A21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="00A709C5"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302"/>
        </w:trPr>
        <w:tc>
          <w:tcPr>
            <w:tcW w:w="0" w:type="auto"/>
            <w:vMerge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為考量屋頂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洩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水及太陽能光電板日照角度，建議屋頂設置斜率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6~8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度範圍內為佳。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265"/>
        </w:trPr>
        <w:tc>
          <w:tcPr>
            <w:tcW w:w="0" w:type="auto"/>
            <w:vMerge/>
            <w:vAlign w:val="center"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裝設天花隔離網，預防球直接接觸太陽能板。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266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overflowPunct w:val="0"/>
              <w:spacing w:line="400" w:lineRule="exact"/>
              <w:contextualSpacing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球場結構支柱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需包覆由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地面起算，高度達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公尺防護墊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材質：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EVA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、厚度：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30mm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overflowPunct w:val="0"/>
              <w:spacing w:line="400" w:lineRule="exact"/>
              <w:contextualSpacing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overflowPunct w:val="0"/>
              <w:spacing w:line="400" w:lineRule="exact"/>
              <w:contextualSpacing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266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overflowPunct w:val="0"/>
              <w:spacing w:line="400" w:lineRule="exact"/>
              <w:contextualSpacing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重要機電位置加裝隔離圍欄，並設置危險告示。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overflowPunct w:val="0"/>
              <w:spacing w:line="400" w:lineRule="exact"/>
              <w:contextualSpacing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overflowPunct w:val="0"/>
              <w:spacing w:line="400" w:lineRule="exact"/>
              <w:contextualSpacing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overflowPunct w:val="0"/>
              <w:spacing w:line="400" w:lineRule="exact"/>
              <w:contextualSpacing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加裝設漏電斷路器，且需符合「用戶用電設備裝置規則」、「電工法規」等相關規定，並於施工完成後確認漏電斷路器使用功能正常。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overflowPunct w:val="0"/>
              <w:spacing w:line="400" w:lineRule="exact"/>
              <w:contextualSpacing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overflowPunct w:val="0"/>
              <w:spacing w:line="400" w:lineRule="exact"/>
              <w:contextualSpacing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相關</w:t>
            </w:r>
            <w:r w:rsidRPr="00173C37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線路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接地標準應依「電工法規」或「用戶用電設備裝置規則」等規範施作</w:t>
            </w:r>
            <w:r w:rsidRPr="00173C37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為避免場地濕滑，整體設計應達到防漏水。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惟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雨天是否可教學、提供民眾使用需視當天狀況而定。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 w:val="restart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結構系統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與組件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設計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屋架結構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：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採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韌性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抗彎矩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構架系統為地上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層鋼骨構造物。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風雨球場結構以鋼構為主，亦可採用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RC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柱結合鋼構支柱。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基礎型式得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採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獨立基腳。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基礎底面應先鋪設高度至少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10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公分的墊底混凝土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(fc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’≧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140kgf/cm2)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後方可進行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放樣及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基礎版施工。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結結構設計應符合「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建築物耐風設計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規範及解說」之規定，惟依據「國有公用不動產設置太陽光電發電設備租賃契約書」訂定基本設計風速在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32.5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公尺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/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秒以下地區者，須採用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32.5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公尺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/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秒之平均風速作為基本設計風速，另若高於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32.5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公尺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/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秒地區者，須採用各地區之平均風速作為基本設計風速，並考量陣風反應因子（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G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），由專業技師分別提供結構計算書與各式連結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(Connection)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安全檢核文件。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結構設計是否依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建築物耐風設計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規範進行設計與檢核，其中用途係數（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I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），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採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I=1.1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（含）以上、陣風反應因子（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G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），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採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G=1.88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（含）作為設計與計算基礎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結構設計應符合「建築物耐震設計規範及解說」之規定，其中用途係數（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I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），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採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I=1.25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（含）以上作為設計與計算基礎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螺絲組（包含螺絲、螺帽、平華司與彈簧華司等）是否為同一材質，可為熱浸鍍鋅或電鍍鋅材質或不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銹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鋼材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質等抗腐蝕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材質，並取得抗腐蝕品質測試報告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每一構件連結螺絲組是否包含抗腐蝕螺絲、至少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片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彈簧華司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、至少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片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平板華司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、至少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 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個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抗腐蝕六角螺帽以及於六角螺帽上再套上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 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個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抗腐蝕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六角蓋型螺帽</w:t>
            </w:r>
            <w:proofErr w:type="gramEnd"/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 w:val="restart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支撐架金屬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基材耐腐蝕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性能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支撐架材質的選擇，下列兩項選擇：</w:t>
            </w:r>
          </w:p>
          <w:p w:rsidR="005E4A21" w:rsidRPr="00173C37" w:rsidRDefault="005E4A21" w:rsidP="00167AC5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若採用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鋼構基材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，應為一般結構用鋼材（如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ASTM A709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ASTM A36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A572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等）或冷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軋鋼構材外加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表面防蝕處理，或耐候鋼材（如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ASTM A588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CNS 4620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JIS G3114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等）</w:t>
            </w:r>
          </w:p>
          <w:p w:rsidR="005E4A21" w:rsidRPr="00173C37" w:rsidRDefault="005E4A21" w:rsidP="00167AC5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若採用鋁合金鋁擠型基材，其鋁合金材質應為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6005T5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或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6001T6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以上之等級，並須符合結構安全要求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支撐架表面處理的選擇，下列兩項處理方式：</w:t>
            </w:r>
          </w:p>
          <w:p w:rsidR="005E4A21" w:rsidRPr="00173C37" w:rsidRDefault="005E4A21" w:rsidP="00167AC5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鋼構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基材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表面處理，須以設置地點符合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ISO  9223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之腐蝕環境分類等級，且至少以中度腐蝕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ISO  9223-C3)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等級以上為處理基準，並以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20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含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）以上抗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腐蝕性能進行表面處理，並由專業機構提出施作說明與品質保證證明</w:t>
            </w:r>
          </w:p>
          <w:p w:rsidR="005E4A21" w:rsidRPr="00173C37" w:rsidRDefault="005E4A21" w:rsidP="00167AC5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鋁合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金鋁擠型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基材表面處理，其表面處理方式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採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陽極處理厚度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14µm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以上及外加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一層膜厚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7µm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以上之壓克力透明漆之表面防蝕處理，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除鋁擠型構材外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的鋁合金板、小配件等之表面處理方式可為陽極處理厚度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7µm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以上及外加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一層膜厚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7µm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以上之壓克力透明漆，且皆需取得具有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TAF </w:t>
            </w: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認可之測試實驗室測試合格報告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pStyle w:val="a5"/>
              <w:overflowPunct w:val="0"/>
              <w:spacing w:line="400" w:lineRule="exact"/>
              <w:ind w:left="0"/>
              <w:jc w:val="both"/>
              <w:rPr>
                <w:rFonts w:ascii="Times New Roman" w:eastAsia="標楷體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/>
                <w:kern w:val="2"/>
                <w:sz w:val="26"/>
                <w:szCs w:val="26"/>
                <w:lang w:eastAsia="zh-TW"/>
              </w:rPr>
              <w:t>依</w:t>
            </w:r>
            <w:r w:rsidRPr="00173C37">
              <w:rPr>
                <w:rFonts w:ascii="Times New Roman" w:eastAsia="標楷體" w:hAnsi="Times New Roman" w:cs="Times New Roman"/>
                <w:kern w:val="2"/>
                <w:sz w:val="26"/>
                <w:szCs w:val="26"/>
                <w:lang w:eastAsia="zh-TW"/>
              </w:rPr>
              <w:t>ISO 9224</w:t>
            </w:r>
            <w:r w:rsidRPr="00173C37">
              <w:rPr>
                <w:rFonts w:ascii="Times New Roman" w:eastAsia="標楷體" w:hAnsi="Times New Roman" w:cs="Times New Roman"/>
                <w:kern w:val="2"/>
                <w:sz w:val="26"/>
                <w:szCs w:val="26"/>
                <w:lang w:eastAsia="zh-TW"/>
              </w:rPr>
              <w:t>金屬材質的腐蝕速率進行防蝕設計，惟至少應以中度腐蝕（</w:t>
            </w:r>
            <w:r w:rsidRPr="00173C37">
              <w:rPr>
                <w:rFonts w:ascii="Times New Roman" w:eastAsia="標楷體" w:hAnsi="Times New Roman" w:cs="Times New Roman"/>
                <w:kern w:val="2"/>
                <w:sz w:val="26"/>
                <w:szCs w:val="26"/>
                <w:lang w:eastAsia="zh-TW"/>
              </w:rPr>
              <w:t>ISO 9223-C3</w:t>
            </w:r>
            <w:r w:rsidRPr="00173C37">
              <w:rPr>
                <w:rFonts w:ascii="Times New Roman" w:eastAsia="標楷體" w:hAnsi="Times New Roman" w:cs="Times New Roman"/>
                <w:kern w:val="2"/>
                <w:sz w:val="26"/>
                <w:szCs w:val="26"/>
                <w:lang w:eastAsia="zh-TW"/>
              </w:rPr>
              <w:t>）等級以上的腐蝕環境</w:t>
            </w:r>
            <w:r w:rsidRPr="00173C37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  <w:lang w:eastAsia="zh-TW"/>
              </w:rPr>
              <w:t>進行</w:t>
            </w:r>
            <w:r w:rsidRPr="00173C37">
              <w:rPr>
                <w:rFonts w:ascii="Times New Roman" w:eastAsia="標楷體" w:hAnsi="Times New Roman" w:cs="Times New Roman"/>
                <w:kern w:val="2"/>
                <w:sz w:val="26"/>
                <w:szCs w:val="26"/>
                <w:lang w:eastAsia="zh-TW"/>
              </w:rPr>
              <w:t>設計</w:t>
            </w:r>
            <w:r w:rsidRPr="00173C37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  <w:lang w:eastAsia="zh-TW"/>
              </w:rPr>
              <w:t>，由專業機構提出說明與品保證明，若縣市</w:t>
            </w:r>
            <w:r w:rsidRPr="00173C37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  <w:lang w:eastAsia="zh-TW"/>
              </w:rPr>
              <w:t>/</w:t>
            </w:r>
            <w:r w:rsidRPr="00173C37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  <w:lang w:eastAsia="zh-TW"/>
              </w:rPr>
              <w:t>學校處於</w:t>
            </w:r>
            <w:r w:rsidRPr="00173C37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  <w:lang w:eastAsia="zh-TW"/>
              </w:rPr>
              <w:t>C3</w:t>
            </w:r>
            <w:r w:rsidRPr="00173C37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  <w:lang w:eastAsia="zh-TW"/>
              </w:rPr>
              <w:t>腐蝕環境以上之等級，可參考臺灣腐蝕環境分類資訊系統</w:t>
            </w:r>
            <w:r w:rsidRPr="00173C37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  <w:lang w:eastAsia="zh-TW"/>
              </w:rPr>
              <w:t>/</w:t>
            </w:r>
            <w:r w:rsidRPr="00173C37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  <w:lang w:eastAsia="zh-TW"/>
              </w:rPr>
              <w:t>大氣腐蝕年報表，進行防腐蝕評估。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pStyle w:val="a5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pStyle w:val="a5"/>
              <w:overflowPunct w:val="0"/>
              <w:spacing w:line="400" w:lineRule="exact"/>
              <w:ind w:left="0"/>
              <w:jc w:val="both"/>
              <w:rPr>
                <w:rFonts w:ascii="Times New Roman" w:eastAsia="標楷體" w:hAnsi="Times New Roman" w:cs="Times New Roman"/>
                <w:kern w:val="2"/>
                <w:sz w:val="26"/>
                <w:szCs w:val="26"/>
                <w:lang w:eastAsia="zh-TW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 w:val="restart"/>
            <w:vAlign w:val="center"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太陽光電模組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系統規格要求根據「用戶用電設備裝置規則」內太陽能系統專章。</w:t>
            </w:r>
            <w:r w:rsidRPr="00173C37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並另提出電機工程技師簽證。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太陽光電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模組鋁框與鋼構材接觸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位置是否加裝鐵氟龍絕緣墊片以隔開二者，避免產生電位差腐蝕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454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螺絲組與太陽光電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模組鋁框接觸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處之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平板華司下方</w:t>
            </w:r>
            <w:proofErr w:type="gramEnd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應再加裝鐵氟龍絕緣墊片以隔開螺絲組及</w:t>
            </w:r>
            <w:proofErr w:type="gramStart"/>
            <w:r w:rsidRPr="00173C37">
              <w:rPr>
                <w:rFonts w:ascii="Times New Roman" w:eastAsia="標楷體" w:hAnsi="Times New Roman" w:cs="Times New Roman"/>
                <w:sz w:val="26"/>
                <w:szCs w:val="26"/>
              </w:rPr>
              <w:t>模組鋁框</w:t>
            </w:r>
            <w:proofErr w:type="gramEnd"/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A21" w:rsidRPr="00A243C7" w:rsidTr="00167AC5">
        <w:trPr>
          <w:trHeight w:val="2000"/>
        </w:trPr>
        <w:tc>
          <w:tcPr>
            <w:tcW w:w="0" w:type="auto"/>
            <w:vMerge/>
          </w:tcPr>
          <w:p w:rsidR="005E4A21" w:rsidRPr="00173C37" w:rsidRDefault="005E4A21" w:rsidP="00167AC5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單一模組與支撐架正面連結（上扣）及背部連結（下鎖）的固定組件共計需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個點以上。如太陽能光電模組距離屋頂面最高高度超過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0.3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公尺以下之系統，單一模組與支撐架正面連結（上扣）必須與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根支架組件（位於模組上中下側）連結固定，</w:t>
            </w:r>
            <w:proofErr w:type="gramStart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連結扣件共計</w:t>
            </w:r>
            <w:proofErr w:type="gramEnd"/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需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173C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組以上。</w:t>
            </w:r>
          </w:p>
        </w:tc>
        <w:tc>
          <w:tcPr>
            <w:tcW w:w="1324" w:type="dxa"/>
          </w:tcPr>
          <w:p w:rsidR="00A709C5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:rsidR="005E4A21" w:rsidRPr="00173C37" w:rsidRDefault="00A709C5" w:rsidP="00A709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173C3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73C37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:rsidR="005E4A21" w:rsidRPr="00173C37" w:rsidRDefault="005E4A21" w:rsidP="00167A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5E4A21" w:rsidRPr="00173C37" w:rsidRDefault="005E4A21" w:rsidP="005E4A21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proofErr w:type="gramStart"/>
      <w:r w:rsidRPr="00173C3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註</w:t>
      </w:r>
      <w:proofErr w:type="gramEnd"/>
      <w:r w:rsidRPr="00173C3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：檢驗結果須全部為是，若</w:t>
      </w:r>
      <w:proofErr w:type="gramStart"/>
      <w:r w:rsidRPr="00173C3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有否者</w:t>
      </w:r>
      <w:proofErr w:type="gramEnd"/>
      <w:r w:rsidRPr="00173C3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，則需由得標廠商盡速修正，以完成檢</w:t>
      </w:r>
      <w:r w:rsidRPr="00173C3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驗</w:t>
      </w:r>
      <w:r w:rsidRPr="00173C3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bookmarkEnd w:id="1"/>
    <w:p w:rsidR="00434052" w:rsidRPr="005E4A21" w:rsidRDefault="00434052"/>
    <w:sectPr w:rsidR="00434052" w:rsidRPr="005E4A21" w:rsidSect="005E4A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FE1"/>
    <w:multiLevelType w:val="hybridMultilevel"/>
    <w:tmpl w:val="62B2AB98"/>
    <w:lvl w:ilvl="0" w:tplc="844E395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A5B53"/>
    <w:multiLevelType w:val="hybridMultilevel"/>
    <w:tmpl w:val="70E8FCC0"/>
    <w:lvl w:ilvl="0" w:tplc="5ED200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21"/>
    <w:rsid w:val="000B2AA6"/>
    <w:rsid w:val="00173C37"/>
    <w:rsid w:val="00434052"/>
    <w:rsid w:val="005E4A21"/>
    <w:rsid w:val="00A709C5"/>
    <w:rsid w:val="00A7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D89AA-E961-4455-BD09-03A4D89A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21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4A21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5E4A21"/>
    <w:rPr>
      <w:rFonts w:ascii="Arial" w:hAnsi="Arial" w:cs="Arial"/>
      <w:kern w:val="0"/>
      <w:sz w:val="22"/>
    </w:rPr>
  </w:style>
  <w:style w:type="paragraph" w:styleId="a5">
    <w:name w:val="Body Text"/>
    <w:basedOn w:val="a"/>
    <w:link w:val="a6"/>
    <w:uiPriority w:val="1"/>
    <w:unhideWhenUsed/>
    <w:qFormat/>
    <w:rsid w:val="005E4A21"/>
    <w:pPr>
      <w:widowControl w:val="0"/>
      <w:autoSpaceDE w:val="0"/>
      <w:autoSpaceDN w:val="0"/>
      <w:spacing w:line="240" w:lineRule="auto"/>
      <w:ind w:left="1212"/>
      <w:contextualSpacing w:val="0"/>
    </w:pPr>
    <w:rPr>
      <w:rFonts w:ascii="Noto Sans CJK JP Regular" w:eastAsia="Noto Sans CJK JP Regular" w:hAnsi="Noto Sans CJK JP Regular" w:cs="Noto Sans CJK JP Regular"/>
      <w:sz w:val="24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5E4A21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4A21"/>
    <w:pPr>
      <w:widowControl w:val="0"/>
      <w:autoSpaceDE w:val="0"/>
      <w:autoSpaceDN w:val="0"/>
      <w:spacing w:line="240" w:lineRule="auto"/>
      <w:contextualSpacing w:val="0"/>
    </w:pPr>
    <w:rPr>
      <w:rFonts w:ascii="Noto Sans CJK JP Regular" w:eastAsia="Noto Sans CJK JP Regular" w:hAnsi="Noto Sans CJK JP Regular" w:cs="Noto Sans CJK JP Regula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鐘瀞文</cp:lastModifiedBy>
  <cp:revision>5</cp:revision>
  <dcterms:created xsi:type="dcterms:W3CDTF">2019-12-25T03:14:00Z</dcterms:created>
  <dcterms:modified xsi:type="dcterms:W3CDTF">2019-12-25T09:05:00Z</dcterms:modified>
</cp:coreProperties>
</file>