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AF9" w:rsidRDefault="00143F60">
      <w:pPr>
        <w:pStyle w:val="Standard"/>
        <w:jc w:val="center"/>
        <w:rPr>
          <w:rFonts w:ascii="標楷體" w:eastAsia="標楷體" w:hAnsi="標楷體"/>
          <w:b/>
          <w:sz w:val="36"/>
          <w:szCs w:val="36"/>
        </w:rPr>
      </w:pPr>
      <w:r>
        <w:rPr>
          <w:rFonts w:ascii="標楷體" w:eastAsia="標楷體" w:hAnsi="標楷體"/>
          <w:b/>
          <w:sz w:val="36"/>
          <w:szCs w:val="36"/>
        </w:rPr>
        <w:t>教育部</w:t>
      </w:r>
      <w:bookmarkStart w:id="0" w:name="_GoBack"/>
      <w:r>
        <w:rPr>
          <w:rFonts w:ascii="標楷體" w:eastAsia="標楷體" w:hAnsi="標楷體"/>
          <w:b/>
          <w:sz w:val="36"/>
          <w:szCs w:val="36"/>
        </w:rPr>
        <w:t>青年儲蓄帳戶補助要點修正規定</w:t>
      </w:r>
      <w:bookmarkEnd w:id="0"/>
    </w:p>
    <w:p w:rsidR="00AC6AF9" w:rsidRDefault="00143F60">
      <w:pPr>
        <w:pStyle w:val="a7"/>
        <w:numPr>
          <w:ilvl w:val="0"/>
          <w:numId w:val="5"/>
        </w:numPr>
        <w:jc w:val="both"/>
        <w:rPr>
          <w:rFonts w:ascii="標楷體" w:eastAsia="標楷體" w:hAnsi="標楷體"/>
          <w:sz w:val="28"/>
          <w:szCs w:val="28"/>
        </w:rPr>
      </w:pPr>
      <w:r>
        <w:rPr>
          <w:rFonts w:ascii="標楷體" w:eastAsia="標楷體" w:hAnsi="標楷體"/>
          <w:sz w:val="28"/>
          <w:szCs w:val="28"/>
        </w:rPr>
        <w:t>教育部（以下簡稱本部）為依行政院核定之青年教育與就業儲蓄帳戶方案</w:t>
      </w:r>
      <w:r>
        <w:rPr>
          <w:rFonts w:ascii="標楷體" w:eastAsia="標楷體" w:hAnsi="標楷體"/>
          <w:sz w:val="28"/>
          <w:szCs w:val="28"/>
        </w:rPr>
        <w:t>(</w:t>
      </w:r>
      <w:r>
        <w:rPr>
          <w:rFonts w:ascii="標楷體" w:eastAsia="標楷體" w:hAnsi="標楷體"/>
          <w:sz w:val="28"/>
          <w:szCs w:val="28"/>
        </w:rPr>
        <w:t>以下簡稱本方案</w:t>
      </w:r>
      <w:r>
        <w:rPr>
          <w:rFonts w:ascii="標楷體" w:eastAsia="標楷體" w:hAnsi="標楷體"/>
          <w:sz w:val="28"/>
          <w:szCs w:val="28"/>
        </w:rPr>
        <w:t>)</w:t>
      </w:r>
      <w:r>
        <w:rPr>
          <w:rFonts w:ascii="標楷體" w:eastAsia="標楷體" w:hAnsi="標楷體"/>
          <w:sz w:val="28"/>
          <w:szCs w:val="28"/>
        </w:rPr>
        <w:t>，設置青年儲蓄帳戶，補助青年就學、就業及創業準備金</w:t>
      </w:r>
      <w:r>
        <w:rPr>
          <w:rFonts w:ascii="標楷體" w:eastAsia="標楷體" w:hAnsi="標楷體"/>
          <w:sz w:val="28"/>
          <w:szCs w:val="28"/>
        </w:rPr>
        <w:t>(</w:t>
      </w:r>
      <w:r>
        <w:rPr>
          <w:rFonts w:ascii="標楷體" w:eastAsia="標楷體" w:hAnsi="標楷體"/>
          <w:sz w:val="28"/>
          <w:szCs w:val="28"/>
        </w:rPr>
        <w:t>以下簡稱準備金</w:t>
      </w:r>
      <w:r>
        <w:rPr>
          <w:rFonts w:ascii="標楷體" w:eastAsia="標楷體" w:hAnsi="標楷體"/>
          <w:sz w:val="28"/>
          <w:szCs w:val="28"/>
        </w:rPr>
        <w:t>)</w:t>
      </w:r>
      <w:r>
        <w:rPr>
          <w:rFonts w:ascii="標楷體" w:eastAsia="標楷體" w:hAnsi="標楷體"/>
          <w:sz w:val="28"/>
          <w:szCs w:val="28"/>
        </w:rPr>
        <w:t>，特訂定本要點。</w:t>
      </w:r>
    </w:p>
    <w:p w:rsidR="00AC6AF9" w:rsidRDefault="00143F60">
      <w:pPr>
        <w:pStyle w:val="a7"/>
        <w:numPr>
          <w:ilvl w:val="0"/>
          <w:numId w:val="4"/>
        </w:numPr>
        <w:jc w:val="both"/>
        <w:rPr>
          <w:rFonts w:ascii="標楷體" w:eastAsia="標楷體" w:hAnsi="標楷體"/>
          <w:sz w:val="28"/>
          <w:szCs w:val="28"/>
        </w:rPr>
      </w:pPr>
      <w:r>
        <w:rPr>
          <w:rFonts w:ascii="標楷體" w:eastAsia="標楷體" w:hAnsi="標楷體"/>
          <w:sz w:val="28"/>
          <w:szCs w:val="28"/>
        </w:rPr>
        <w:t>本要點適用對象，應符合下列規定：</w:t>
      </w:r>
    </w:p>
    <w:p w:rsidR="00AC6AF9" w:rsidRDefault="00143F60">
      <w:pPr>
        <w:pStyle w:val="Standard"/>
        <w:ind w:left="1040" w:hanging="560"/>
        <w:jc w:val="both"/>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自一百零五學年度起，本方案試辦期間，在中華民國設有戶籍之高級中等學校應屆畢業生</w:t>
      </w:r>
      <w:r>
        <w:rPr>
          <w:rFonts w:ascii="標楷體" w:eastAsia="標楷體" w:hAnsi="標楷體"/>
          <w:sz w:val="28"/>
          <w:szCs w:val="28"/>
        </w:rPr>
        <w:t>(</w:t>
      </w:r>
      <w:r>
        <w:rPr>
          <w:rFonts w:ascii="標楷體" w:eastAsia="標楷體" w:hAnsi="標楷體"/>
          <w:sz w:val="28"/>
          <w:szCs w:val="28"/>
        </w:rPr>
        <w:t>以下簡稱青年</w:t>
      </w:r>
      <w:r>
        <w:rPr>
          <w:rFonts w:ascii="標楷體" w:eastAsia="標楷體" w:hAnsi="標楷體"/>
          <w:sz w:val="28"/>
          <w:szCs w:val="28"/>
        </w:rPr>
        <w:t>)</w:t>
      </w:r>
      <w:r>
        <w:rPr>
          <w:rFonts w:ascii="標楷體" w:eastAsia="標楷體" w:hAnsi="標楷體"/>
          <w:sz w:val="28"/>
          <w:szCs w:val="28"/>
        </w:rPr>
        <w:t>。</w:t>
      </w:r>
    </w:p>
    <w:p w:rsidR="00AC6AF9" w:rsidRDefault="00143F60">
      <w:pPr>
        <w:pStyle w:val="Standard"/>
        <w:ind w:left="104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本部推薦，經勞動部依本方案之青年就業領航計畫</w:t>
      </w:r>
      <w:r>
        <w:rPr>
          <w:rFonts w:ascii="標楷體" w:eastAsia="標楷體" w:hAnsi="標楷體"/>
          <w:sz w:val="28"/>
          <w:szCs w:val="28"/>
        </w:rPr>
        <w:t>(</w:t>
      </w:r>
      <w:r>
        <w:rPr>
          <w:rFonts w:ascii="標楷體" w:eastAsia="標楷體" w:hAnsi="標楷體"/>
          <w:sz w:val="28"/>
          <w:szCs w:val="28"/>
        </w:rPr>
        <w:t>以下簡稱領航計畫</w:t>
      </w:r>
      <w:r>
        <w:rPr>
          <w:rFonts w:ascii="標楷體" w:eastAsia="標楷體" w:hAnsi="標楷體"/>
          <w:sz w:val="28"/>
          <w:szCs w:val="28"/>
        </w:rPr>
        <w:t>)</w:t>
      </w:r>
      <w:r>
        <w:rPr>
          <w:rFonts w:ascii="標楷體" w:eastAsia="標楷體" w:hAnsi="標楷體"/>
          <w:sz w:val="28"/>
          <w:szCs w:val="28"/>
        </w:rPr>
        <w:t>，媒合就業之實際在職青年。</w:t>
      </w:r>
    </w:p>
    <w:p w:rsidR="00AC6AF9" w:rsidRDefault="00143F60">
      <w:pPr>
        <w:pStyle w:val="Standard"/>
        <w:ind w:left="480" w:firstLine="560"/>
        <w:jc w:val="both"/>
        <w:rPr>
          <w:rFonts w:ascii="標楷體" w:eastAsia="標楷體" w:hAnsi="標楷體"/>
          <w:sz w:val="28"/>
          <w:szCs w:val="28"/>
        </w:rPr>
      </w:pPr>
      <w:r>
        <w:rPr>
          <w:rFonts w:ascii="標楷體" w:eastAsia="標楷體" w:hAnsi="標楷體"/>
          <w:sz w:val="28"/>
          <w:szCs w:val="28"/>
        </w:rPr>
        <w:t>前項第二款領航計畫所定就業期間，分為二十四個月期或三十六個月期，青年應擇一參加。</w:t>
      </w:r>
    </w:p>
    <w:p w:rsidR="00AC6AF9" w:rsidRDefault="00143F60">
      <w:pPr>
        <w:pStyle w:val="a7"/>
        <w:numPr>
          <w:ilvl w:val="0"/>
          <w:numId w:val="4"/>
        </w:numPr>
        <w:ind w:left="567" w:hanging="567"/>
        <w:rPr>
          <w:rFonts w:ascii="標楷體" w:eastAsia="標楷體" w:hAnsi="標楷體"/>
          <w:sz w:val="28"/>
          <w:szCs w:val="28"/>
        </w:rPr>
      </w:pPr>
      <w:r>
        <w:rPr>
          <w:rFonts w:ascii="標楷體" w:eastAsia="標楷體" w:hAnsi="標楷體"/>
          <w:sz w:val="28"/>
          <w:szCs w:val="28"/>
        </w:rPr>
        <w:t>青年自受僱且參加就業保險之日起，由本部依勞動部青年就業領航計畫穩定就業津貼核發清冊，依下列規定按季撥付準備金至協辦金融機構所設之青年儲蓄帳戶：</w:t>
      </w:r>
    </w:p>
    <w:p w:rsidR="00AC6AF9" w:rsidRDefault="00143F60">
      <w:pPr>
        <w:pStyle w:val="Standard"/>
        <w:ind w:left="104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每滿一個月，補助新臺幣</w:t>
      </w:r>
      <w:r>
        <w:rPr>
          <w:rFonts w:ascii="標楷體" w:eastAsia="標楷體" w:hAnsi="標楷體"/>
          <w:sz w:val="28"/>
          <w:szCs w:val="28"/>
        </w:rPr>
        <w:t>(</w:t>
      </w:r>
      <w:r>
        <w:rPr>
          <w:rFonts w:ascii="標楷體" w:eastAsia="標楷體" w:hAnsi="標楷體"/>
          <w:sz w:val="28"/>
          <w:szCs w:val="28"/>
        </w:rPr>
        <w:t>以下同</w:t>
      </w:r>
      <w:r>
        <w:rPr>
          <w:rFonts w:ascii="標楷體" w:eastAsia="標楷體" w:hAnsi="標楷體"/>
          <w:sz w:val="28"/>
          <w:szCs w:val="28"/>
        </w:rPr>
        <w:t>)</w:t>
      </w:r>
      <w:r>
        <w:rPr>
          <w:rFonts w:ascii="標楷體" w:eastAsia="標楷體" w:hAnsi="標楷體"/>
          <w:sz w:val="28"/>
          <w:szCs w:val="28"/>
        </w:rPr>
        <w:t>五千元。</w:t>
      </w:r>
    </w:p>
    <w:p w:rsidR="00AC6AF9" w:rsidRDefault="00143F60">
      <w:pPr>
        <w:pStyle w:val="Standard"/>
        <w:ind w:left="104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未滿一個月者，按在職日占按每月之比率乘以五千計算；計算結果有小數點者，無條件進位。</w:t>
      </w:r>
    </w:p>
    <w:p w:rsidR="00AC6AF9" w:rsidRDefault="00143F60">
      <w:pPr>
        <w:pStyle w:val="Standard"/>
        <w:ind w:left="480" w:firstLine="560"/>
        <w:jc w:val="both"/>
        <w:rPr>
          <w:rFonts w:ascii="標楷體" w:eastAsia="標楷體" w:hAnsi="標楷體"/>
          <w:sz w:val="28"/>
          <w:szCs w:val="28"/>
        </w:rPr>
      </w:pPr>
      <w:r>
        <w:rPr>
          <w:rFonts w:ascii="標楷體" w:eastAsia="標楷體" w:hAnsi="標楷體"/>
          <w:sz w:val="28"/>
          <w:szCs w:val="28"/>
        </w:rPr>
        <w:t>前項一個月以三十日計算，包括例假日及休假日。</w:t>
      </w:r>
    </w:p>
    <w:p w:rsidR="00AC6AF9" w:rsidRDefault="00143F60">
      <w:pPr>
        <w:pStyle w:val="Standard"/>
        <w:ind w:left="480" w:firstLine="560"/>
        <w:jc w:val="both"/>
        <w:rPr>
          <w:rFonts w:ascii="標楷體" w:eastAsia="標楷體" w:hAnsi="標楷體"/>
          <w:sz w:val="28"/>
          <w:szCs w:val="28"/>
        </w:rPr>
      </w:pPr>
      <w:r>
        <w:rPr>
          <w:rFonts w:ascii="標楷體" w:eastAsia="標楷體" w:hAnsi="標楷體"/>
          <w:sz w:val="28"/>
          <w:szCs w:val="28"/>
        </w:rPr>
        <w:t>第一</w:t>
      </w:r>
      <w:r>
        <w:rPr>
          <w:rFonts w:ascii="標楷體" w:eastAsia="標楷體" w:hAnsi="標楷體"/>
          <w:sz w:val="28"/>
          <w:szCs w:val="28"/>
        </w:rPr>
        <w:t>項補助，青年選擇領航計畫二十四個月期者，至多補助十二萬元；三十六個月期者，至多補助十八萬元。</w:t>
      </w:r>
    </w:p>
    <w:p w:rsidR="00AC6AF9" w:rsidRDefault="00143F60">
      <w:pPr>
        <w:pStyle w:val="a7"/>
        <w:numPr>
          <w:ilvl w:val="0"/>
          <w:numId w:val="4"/>
        </w:numPr>
        <w:ind w:left="567" w:hanging="567"/>
        <w:jc w:val="both"/>
        <w:rPr>
          <w:rFonts w:ascii="標楷體" w:eastAsia="標楷體" w:hAnsi="標楷體"/>
          <w:sz w:val="28"/>
          <w:szCs w:val="28"/>
        </w:rPr>
      </w:pPr>
      <w:r>
        <w:rPr>
          <w:rFonts w:ascii="標楷體" w:eastAsia="標楷體" w:hAnsi="標楷體"/>
          <w:sz w:val="28"/>
          <w:szCs w:val="28"/>
        </w:rPr>
        <w:t>青年儲蓄帳戶由本部於協辦之金融機構，開立綜合存款儲金總戶，並由協辦之金融機構實施分戶管理。</w:t>
      </w:r>
    </w:p>
    <w:p w:rsidR="00AC6AF9" w:rsidRDefault="00143F60">
      <w:pPr>
        <w:pStyle w:val="a7"/>
        <w:numPr>
          <w:ilvl w:val="0"/>
          <w:numId w:val="4"/>
        </w:numPr>
        <w:ind w:left="567" w:hanging="567"/>
        <w:rPr>
          <w:rFonts w:ascii="標楷體" w:eastAsia="標楷體" w:hAnsi="標楷體"/>
          <w:sz w:val="28"/>
          <w:szCs w:val="28"/>
        </w:rPr>
      </w:pPr>
      <w:r>
        <w:rPr>
          <w:rFonts w:ascii="標楷體" w:eastAsia="標楷體" w:hAnsi="標楷體"/>
          <w:sz w:val="28"/>
          <w:szCs w:val="28"/>
        </w:rPr>
        <w:t>青年應自第三點第一項所定參加就業保險之次日起算十五日內，至本部指定網站確認基本資料；逾期未確認者，於本部通知確認完竣前，暫緩撥付準備金：</w:t>
      </w:r>
    </w:p>
    <w:p w:rsidR="00AC6AF9" w:rsidRDefault="00143F60">
      <w:pPr>
        <w:pStyle w:val="Standard"/>
        <w:ind w:left="104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青年姓名、國民身分證統一編號、戶籍地址、通訊地址及聯絡電話。</w:t>
      </w:r>
    </w:p>
    <w:p w:rsidR="00AC6AF9" w:rsidRDefault="00143F60">
      <w:pPr>
        <w:pStyle w:val="Standard"/>
        <w:ind w:left="104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雇主名稱、地址、聯絡電話、服務部門與職場導師姓名、職稱及聯絡電話。</w:t>
      </w:r>
    </w:p>
    <w:p w:rsidR="00AC6AF9" w:rsidRDefault="00143F60">
      <w:pPr>
        <w:pStyle w:val="Standard"/>
        <w:ind w:left="1040" w:hanging="560"/>
        <w:jc w:val="both"/>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t xml:space="preserve"> </w:t>
      </w:r>
      <w:r>
        <w:rPr>
          <w:rFonts w:ascii="標楷體" w:eastAsia="標楷體" w:hAnsi="標楷體"/>
          <w:sz w:val="28"/>
          <w:szCs w:val="28"/>
        </w:rPr>
        <w:t>青年受僱參加就業保險之投保日期。</w:t>
      </w:r>
    </w:p>
    <w:p w:rsidR="00AC6AF9" w:rsidRDefault="00143F60">
      <w:pPr>
        <w:pStyle w:val="Standard"/>
        <w:ind w:left="104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青年離職或轉職日期。</w:t>
      </w:r>
    </w:p>
    <w:p w:rsidR="00AC6AF9" w:rsidRDefault="00143F60">
      <w:pPr>
        <w:pStyle w:val="a7"/>
        <w:numPr>
          <w:ilvl w:val="0"/>
          <w:numId w:val="4"/>
        </w:numPr>
        <w:ind w:left="567" w:hanging="567"/>
        <w:jc w:val="both"/>
        <w:rPr>
          <w:rFonts w:ascii="標楷體" w:eastAsia="標楷體" w:hAnsi="標楷體"/>
          <w:sz w:val="28"/>
          <w:szCs w:val="28"/>
        </w:rPr>
      </w:pPr>
      <w:r>
        <w:rPr>
          <w:rFonts w:ascii="標楷體" w:eastAsia="標楷體" w:hAnsi="標楷體"/>
          <w:sz w:val="28"/>
          <w:szCs w:val="28"/>
        </w:rPr>
        <w:t>青年應於受僱後，每二星期至本部指定網站，填報體驗學習雙週誌；未填報者，於補填完竣前，得暫緩撥付準備金。</w:t>
      </w:r>
    </w:p>
    <w:p w:rsidR="00AC6AF9" w:rsidRDefault="00143F60">
      <w:pPr>
        <w:pStyle w:val="a7"/>
        <w:numPr>
          <w:ilvl w:val="0"/>
          <w:numId w:val="4"/>
        </w:numPr>
        <w:ind w:left="567" w:hanging="567"/>
        <w:jc w:val="both"/>
        <w:rPr>
          <w:rFonts w:ascii="標楷體" w:eastAsia="標楷體" w:hAnsi="標楷體"/>
          <w:sz w:val="28"/>
          <w:szCs w:val="28"/>
        </w:rPr>
      </w:pPr>
      <w:r>
        <w:rPr>
          <w:rFonts w:ascii="標楷體" w:eastAsia="標楷體" w:hAnsi="標楷體"/>
          <w:sz w:val="28"/>
          <w:szCs w:val="28"/>
        </w:rPr>
        <w:t>青年因故離職且有意願轉職者，應依勞動部相關規定辦理通知及媒合就業，未依規定辦理，或無轉職意願而退出領航計畫者，經勞動部通知本部後，本部終止其補助。</w:t>
      </w:r>
    </w:p>
    <w:p w:rsidR="00AC6AF9" w:rsidRDefault="00143F60">
      <w:pPr>
        <w:pStyle w:val="Standard"/>
        <w:ind w:left="480" w:firstLine="567"/>
        <w:jc w:val="both"/>
        <w:rPr>
          <w:rFonts w:ascii="標楷體" w:eastAsia="標楷體" w:hAnsi="標楷體"/>
          <w:sz w:val="28"/>
          <w:szCs w:val="28"/>
        </w:rPr>
      </w:pPr>
      <w:r>
        <w:rPr>
          <w:rFonts w:ascii="標楷體" w:eastAsia="標楷體" w:hAnsi="標楷體"/>
          <w:sz w:val="28"/>
          <w:szCs w:val="28"/>
        </w:rPr>
        <w:t>前項轉職期間，以二個月為限；每年轉職一次為限。但青年離職原因經勞動部認定屬非自願離職等不可歸責於青年之事由者，其每年轉職，不以一次為限。</w:t>
      </w:r>
    </w:p>
    <w:p w:rsidR="00AC6AF9" w:rsidRDefault="00143F60">
      <w:pPr>
        <w:pStyle w:val="a7"/>
        <w:numPr>
          <w:ilvl w:val="0"/>
          <w:numId w:val="4"/>
        </w:numPr>
        <w:ind w:left="567" w:hanging="567"/>
        <w:jc w:val="both"/>
        <w:rPr>
          <w:rFonts w:ascii="標楷體" w:eastAsia="標楷體" w:hAnsi="標楷體"/>
          <w:sz w:val="28"/>
          <w:szCs w:val="28"/>
        </w:rPr>
      </w:pPr>
      <w:r>
        <w:rPr>
          <w:rFonts w:ascii="標楷體" w:eastAsia="標楷體" w:hAnsi="標楷體"/>
          <w:sz w:val="28"/>
          <w:szCs w:val="28"/>
        </w:rPr>
        <w:lastRenderedPageBreak/>
        <w:t>青年依第二點第二項變更領航計畫就業期間，應至本部指定網站向</w:t>
      </w:r>
      <w:r>
        <w:rPr>
          <w:rFonts w:ascii="標楷體" w:eastAsia="標楷體" w:hAnsi="標楷體"/>
          <w:sz w:val="28"/>
          <w:szCs w:val="28"/>
        </w:rPr>
        <w:t>本部提出申請，經本部會同勞動部審查通過後，得於變更後之期間繼續領取準備金。</w:t>
      </w:r>
    </w:p>
    <w:p w:rsidR="00AC6AF9" w:rsidRDefault="00143F60">
      <w:pPr>
        <w:pStyle w:val="a7"/>
        <w:numPr>
          <w:ilvl w:val="0"/>
          <w:numId w:val="4"/>
        </w:numPr>
        <w:ind w:left="567" w:hanging="567"/>
        <w:jc w:val="both"/>
        <w:rPr>
          <w:rFonts w:ascii="標楷體" w:eastAsia="標楷體" w:hAnsi="標楷體"/>
          <w:sz w:val="28"/>
          <w:szCs w:val="28"/>
        </w:rPr>
      </w:pPr>
      <w:r>
        <w:rPr>
          <w:rFonts w:ascii="標楷體" w:eastAsia="標楷體" w:hAnsi="標楷體"/>
          <w:sz w:val="28"/>
          <w:szCs w:val="28"/>
        </w:rPr>
        <w:t>青年於領航計畫所定就業期間期滿或中途退出計畫，應檢附計畫期滿提領申請書或退出提領申請書向本部申請，經本部及勞動部審查通過後，彙整列冊送協辦金融機構，將應撥付準備金一次匯入個人指定帳戶；青年有第七點未依規定辦理之情形，經本部終止補助，其準備金提領方式，亦同。</w:t>
      </w:r>
    </w:p>
    <w:p w:rsidR="00AC6AF9" w:rsidRDefault="00143F60">
      <w:pPr>
        <w:pStyle w:val="Standard"/>
        <w:ind w:left="480" w:firstLine="560"/>
        <w:jc w:val="both"/>
        <w:rPr>
          <w:rFonts w:ascii="標楷體" w:eastAsia="標楷體" w:hAnsi="標楷體"/>
          <w:sz w:val="28"/>
          <w:szCs w:val="28"/>
        </w:rPr>
      </w:pPr>
      <w:r>
        <w:rPr>
          <w:rFonts w:ascii="標楷體" w:eastAsia="標楷體" w:hAnsi="標楷體"/>
          <w:sz w:val="28"/>
          <w:szCs w:val="28"/>
        </w:rPr>
        <w:t>青年依前項規定申請時，應同時至本部指定網站，填報個人指定帳戶之銀行代碼、分行代號及帳號。</w:t>
      </w:r>
    </w:p>
    <w:p w:rsidR="00AC6AF9" w:rsidRDefault="00143F60">
      <w:pPr>
        <w:pStyle w:val="a7"/>
        <w:numPr>
          <w:ilvl w:val="0"/>
          <w:numId w:val="4"/>
        </w:numPr>
        <w:ind w:left="567" w:hanging="567"/>
        <w:jc w:val="both"/>
        <w:rPr>
          <w:rFonts w:ascii="標楷體" w:eastAsia="標楷體" w:hAnsi="標楷體"/>
          <w:sz w:val="28"/>
          <w:szCs w:val="28"/>
        </w:rPr>
      </w:pPr>
      <w:r>
        <w:rPr>
          <w:rFonts w:ascii="標楷體" w:eastAsia="標楷體" w:hAnsi="標楷體"/>
          <w:sz w:val="28"/>
          <w:szCs w:val="28"/>
        </w:rPr>
        <w:t>青年因故未於領航計畫所定就業期間期滿或中途退出計畫後三年內，向本部申請領取準備金，經本部</w:t>
      </w:r>
      <w:r>
        <w:rPr>
          <w:rFonts w:ascii="標楷體" w:eastAsia="標楷體" w:hAnsi="標楷體"/>
          <w:sz w:val="28"/>
          <w:szCs w:val="28"/>
        </w:rPr>
        <w:t>通知後，得先解繳國庫，俟青年檢附申請書向本部申請，再循預算程序辦理撥付。</w:t>
      </w:r>
    </w:p>
    <w:p w:rsidR="00AC6AF9" w:rsidRDefault="00143F60">
      <w:pPr>
        <w:pStyle w:val="Standard"/>
        <w:ind w:left="480" w:firstLine="560"/>
        <w:jc w:val="both"/>
      </w:pPr>
      <w:r>
        <w:rPr>
          <w:rFonts w:ascii="標楷體" w:eastAsia="標楷體" w:hAnsi="標楷體"/>
          <w:sz w:val="28"/>
          <w:szCs w:val="28"/>
        </w:rPr>
        <w:t>青年因死亡而不能領取準備金者，本部應通知繼承人領取；逾三年未領取，得先解繳國庫，俟繼承人檢附申請書向本部申請，再循預算程序辦理撥付。</w:t>
      </w:r>
    </w:p>
    <w:p w:rsidR="00AC6AF9" w:rsidRDefault="00143F60">
      <w:pPr>
        <w:pStyle w:val="a7"/>
        <w:numPr>
          <w:ilvl w:val="0"/>
          <w:numId w:val="4"/>
        </w:numPr>
        <w:jc w:val="both"/>
        <w:rPr>
          <w:rFonts w:ascii="標楷體" w:eastAsia="標楷體" w:hAnsi="標楷體"/>
          <w:sz w:val="28"/>
          <w:szCs w:val="28"/>
        </w:rPr>
      </w:pPr>
      <w:r>
        <w:rPr>
          <w:rFonts w:ascii="標楷體" w:eastAsia="標楷體" w:hAnsi="標楷體"/>
          <w:sz w:val="28"/>
          <w:szCs w:val="28"/>
        </w:rPr>
        <w:t>青年得向本部以書面聲明放棄請領準備金。</w:t>
      </w:r>
    </w:p>
    <w:p w:rsidR="00AC6AF9" w:rsidRDefault="00143F60">
      <w:pPr>
        <w:pStyle w:val="a7"/>
        <w:numPr>
          <w:ilvl w:val="0"/>
          <w:numId w:val="4"/>
        </w:numPr>
        <w:ind w:left="851" w:hanging="851"/>
        <w:jc w:val="both"/>
        <w:rPr>
          <w:rFonts w:ascii="標楷體" w:eastAsia="標楷體" w:hAnsi="標楷體"/>
          <w:sz w:val="28"/>
          <w:szCs w:val="28"/>
        </w:rPr>
      </w:pPr>
      <w:r>
        <w:rPr>
          <w:rFonts w:ascii="標楷體" w:eastAsia="標楷體" w:hAnsi="標楷體"/>
          <w:sz w:val="28"/>
          <w:szCs w:val="28"/>
        </w:rPr>
        <w:t>青年於執行領航計畫期間，不得重複領取本部其他為促進就業之相關補助或獎勵金。</w:t>
      </w:r>
    </w:p>
    <w:p w:rsidR="00AC6AF9" w:rsidRDefault="00143F60">
      <w:pPr>
        <w:pStyle w:val="a7"/>
        <w:numPr>
          <w:ilvl w:val="0"/>
          <w:numId w:val="4"/>
        </w:numPr>
        <w:ind w:left="851" w:hanging="851"/>
        <w:jc w:val="both"/>
        <w:rPr>
          <w:rFonts w:ascii="標楷體" w:eastAsia="標楷體" w:hAnsi="標楷體"/>
          <w:sz w:val="28"/>
          <w:szCs w:val="28"/>
        </w:rPr>
      </w:pPr>
      <w:r>
        <w:rPr>
          <w:rFonts w:ascii="標楷體" w:eastAsia="標楷體" w:hAnsi="標楷體"/>
          <w:sz w:val="28"/>
          <w:szCs w:val="28"/>
        </w:rPr>
        <w:t>青年有下列情形之一者，不予補助；已核准補助者，撤銷或廢止原補助處分；已發給補助款者，並以書面限期命其返還：</w:t>
      </w:r>
    </w:p>
    <w:p w:rsidR="00AC6AF9" w:rsidRDefault="00143F60">
      <w:pPr>
        <w:pStyle w:val="Standard"/>
        <w:ind w:left="104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提供虛偽不實之文件或資料。</w:t>
      </w:r>
    </w:p>
    <w:p w:rsidR="00AC6AF9" w:rsidRDefault="00143F60">
      <w:pPr>
        <w:pStyle w:val="Standard"/>
        <w:ind w:left="104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第一年就業期間就讀具有正式學籍之學位（包</w:t>
      </w:r>
      <w:r>
        <w:rPr>
          <w:rFonts w:ascii="標楷體" w:eastAsia="標楷體" w:hAnsi="標楷體"/>
          <w:sz w:val="28"/>
          <w:szCs w:val="28"/>
        </w:rPr>
        <w:t>括進修學制），經查證屬實。</w:t>
      </w:r>
    </w:p>
    <w:p w:rsidR="00AC6AF9" w:rsidRDefault="00143F60">
      <w:pPr>
        <w:pStyle w:val="Standard"/>
        <w:ind w:left="1040" w:hanging="56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依領航計畫及其相關法令規定，不予補助。</w:t>
      </w:r>
    </w:p>
    <w:p w:rsidR="00AC6AF9" w:rsidRDefault="00143F60">
      <w:pPr>
        <w:pStyle w:val="Standard"/>
        <w:ind w:left="480" w:firstLine="560"/>
        <w:jc w:val="both"/>
      </w:pPr>
      <w:r>
        <w:rPr>
          <w:rFonts w:ascii="標楷體" w:eastAsia="標楷體" w:hAnsi="標楷體"/>
          <w:sz w:val="28"/>
          <w:szCs w:val="28"/>
        </w:rPr>
        <w:t>前項第二款所定第一年就業期間，以青年參加就業保險之投保日期開始計算。</w:t>
      </w:r>
    </w:p>
    <w:sectPr w:rsidR="00AC6AF9">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F60" w:rsidRDefault="00143F60">
      <w:r>
        <w:separator/>
      </w:r>
    </w:p>
  </w:endnote>
  <w:endnote w:type="continuationSeparator" w:id="0">
    <w:p w:rsidR="00143F60" w:rsidRDefault="0014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標楷體">
    <w:altName w:val=".D·￠Ae"/>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F60" w:rsidRDefault="00143F60">
      <w:r>
        <w:rPr>
          <w:color w:val="000000"/>
        </w:rPr>
        <w:separator/>
      </w:r>
    </w:p>
  </w:footnote>
  <w:footnote w:type="continuationSeparator" w:id="0">
    <w:p w:rsidR="00143F60" w:rsidRDefault="00143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15F5"/>
    <w:multiLevelType w:val="multilevel"/>
    <w:tmpl w:val="38F0CA38"/>
    <w:styleLink w:val="WWNum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6E01EF3"/>
    <w:multiLevelType w:val="multilevel"/>
    <w:tmpl w:val="EC9E0DC8"/>
    <w:styleLink w:val="WWNum3"/>
    <w:lvl w:ilvl="0">
      <w:start w:val="1"/>
      <w:numFmt w:val="japaneseCounting"/>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262C9F"/>
    <w:multiLevelType w:val="multilevel"/>
    <w:tmpl w:val="069CE55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6C332113"/>
    <w:multiLevelType w:val="multilevel"/>
    <w:tmpl w:val="31201B98"/>
    <w:styleLink w:val="WW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3"/>
  </w:num>
  <w:num w:numId="3">
    <w:abstractNumId w:val="0"/>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AC6AF9"/>
    <w:rsid w:val="00143F60"/>
    <w:rsid w:val="00230381"/>
    <w:rsid w:val="00AC6A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7E0C01-DBA2-479C-8411-DA22FA94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ahoma"/>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styleId="a8">
    <w:name w:val="Balloon Text"/>
    <w:basedOn w:val="Standard"/>
    <w:rPr>
      <w:rFonts w:ascii="Calibri Light" w:eastAsia="Calibri Light" w:hAnsi="Calibri Light" w:cs="Calibri Light"/>
      <w:sz w:val="18"/>
      <w:szCs w:val="18"/>
    </w:r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Tahoma"/>
      <w:sz w:val="18"/>
      <w:szCs w:val="18"/>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ejsmpc/AppData/Local/Microsoft/Windows/Temporary%20Internet%20Files/Content.IE5/X5HWM02I/108&#20462;&#27491;&#35215;&#23450;ODT&#27284;.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李宜融</dc:creator>
  <cp:lastModifiedBy>林茂誠</cp:lastModifiedBy>
  <cp:revision>2</cp:revision>
  <cp:lastPrinted>2017-05-24T08:24:00Z</cp:lastPrinted>
  <dcterms:created xsi:type="dcterms:W3CDTF">2019-12-13T02:35:00Z</dcterms:created>
  <dcterms:modified xsi:type="dcterms:W3CDTF">2019-12-13T02:35:00Z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